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99D04" w14:textId="77777777" w:rsidR="00F9571B" w:rsidRDefault="001177CA">
      <w:pPr>
        <w:spacing w:after="318" w:line="259" w:lineRule="auto"/>
        <w:ind w:left="0" w:right="0" w:firstLine="0"/>
        <w:jc w:val="left"/>
      </w:pPr>
      <w:r>
        <w:rPr>
          <w:rFonts w:ascii="Calibri" w:eastAsia="Calibri" w:hAnsi="Calibri" w:cs="Calibri"/>
          <w:noProof/>
          <w:color w:val="000000"/>
          <w:sz w:val="22"/>
        </w:rPr>
        <mc:AlternateContent>
          <mc:Choice Requires="wpg">
            <w:drawing>
              <wp:inline distT="0" distB="0" distL="0" distR="0" wp14:anchorId="1EA00BB7" wp14:editId="7CEE2DF0">
                <wp:extent cx="6645910" cy="863279"/>
                <wp:effectExtent l="0" t="0" r="0" b="0"/>
                <wp:docPr id="10748" name="Group 10748"/>
                <wp:cNvGraphicFramePr/>
                <a:graphic xmlns:a="http://schemas.openxmlformats.org/drawingml/2006/main">
                  <a:graphicData uri="http://schemas.microsoft.com/office/word/2010/wordprocessingGroup">
                    <wpg:wgp>
                      <wpg:cNvGrpSpPr/>
                      <wpg:grpSpPr>
                        <a:xfrm>
                          <a:off x="0" y="0"/>
                          <a:ext cx="6645910" cy="863279"/>
                          <a:chOff x="0" y="0"/>
                          <a:chExt cx="6645910" cy="863279"/>
                        </a:xfrm>
                      </wpg:grpSpPr>
                      <wps:wsp>
                        <wps:cNvPr id="6" name="Shape 6"/>
                        <wps:cNvSpPr/>
                        <wps:spPr>
                          <a:xfrm>
                            <a:off x="0" y="0"/>
                            <a:ext cx="6645910" cy="444"/>
                          </a:xfrm>
                          <a:custGeom>
                            <a:avLst/>
                            <a:gdLst/>
                            <a:ahLst/>
                            <a:cxnLst/>
                            <a:rect l="0" t="0" r="0" b="0"/>
                            <a:pathLst>
                              <a:path w="6645910" h="444">
                                <a:moveTo>
                                  <a:pt x="0" y="0"/>
                                </a:moveTo>
                                <a:lnTo>
                                  <a:pt x="6645910" y="444"/>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7" name="Shape 7"/>
                        <wps:cNvSpPr/>
                        <wps:spPr>
                          <a:xfrm>
                            <a:off x="0" y="863089"/>
                            <a:ext cx="6645910" cy="190"/>
                          </a:xfrm>
                          <a:custGeom>
                            <a:avLst/>
                            <a:gdLst/>
                            <a:ahLst/>
                            <a:cxnLst/>
                            <a:rect l="0" t="0" r="0" b="0"/>
                            <a:pathLst>
                              <a:path w="6645910" h="190">
                                <a:moveTo>
                                  <a:pt x="0" y="190"/>
                                </a:moveTo>
                                <a:lnTo>
                                  <a:pt x="6645910" y="0"/>
                                </a:lnTo>
                              </a:path>
                            </a:pathLst>
                          </a:custGeom>
                          <a:ln w="38100" cap="flat">
                            <a:miter lim="100000"/>
                          </a:ln>
                        </wps:spPr>
                        <wps:style>
                          <a:lnRef idx="1">
                            <a:srgbClr val="181717"/>
                          </a:lnRef>
                          <a:fillRef idx="0">
                            <a:srgbClr val="000000">
                              <a:alpha val="0"/>
                            </a:srgbClr>
                          </a:fillRef>
                          <a:effectRef idx="0">
                            <a:scrgbClr r="0" g="0" b="0"/>
                          </a:effectRef>
                          <a:fontRef idx="none"/>
                        </wps:style>
                        <wps:bodyPr/>
                      </wps:wsp>
                      <wps:wsp>
                        <wps:cNvPr id="12927" name="Shape 12927"/>
                        <wps:cNvSpPr/>
                        <wps:spPr>
                          <a:xfrm>
                            <a:off x="990600" y="82386"/>
                            <a:ext cx="4673600" cy="685800"/>
                          </a:xfrm>
                          <a:custGeom>
                            <a:avLst/>
                            <a:gdLst/>
                            <a:ahLst/>
                            <a:cxnLst/>
                            <a:rect l="0" t="0" r="0" b="0"/>
                            <a:pathLst>
                              <a:path w="4673600" h="685800">
                                <a:moveTo>
                                  <a:pt x="0" y="0"/>
                                </a:moveTo>
                                <a:lnTo>
                                  <a:pt x="4673600" y="0"/>
                                </a:lnTo>
                                <a:lnTo>
                                  <a:pt x="4673600" y="685800"/>
                                </a:lnTo>
                                <a:lnTo>
                                  <a:pt x="0" y="685800"/>
                                </a:lnTo>
                                <a:lnTo>
                                  <a:pt x="0" y="0"/>
                                </a:lnTo>
                              </a:path>
                            </a:pathLst>
                          </a:custGeom>
                          <a:ln w="0" cap="flat">
                            <a:miter lim="127000"/>
                          </a:ln>
                        </wps:spPr>
                        <wps:style>
                          <a:lnRef idx="0">
                            <a:srgbClr val="000000">
                              <a:alpha val="0"/>
                            </a:srgbClr>
                          </a:lnRef>
                          <a:fillRef idx="1">
                            <a:srgbClr val="DEDDDC"/>
                          </a:fillRef>
                          <a:effectRef idx="0">
                            <a:scrgbClr r="0" g="0" b="0"/>
                          </a:effectRef>
                          <a:fontRef idx="none"/>
                        </wps:style>
                        <wps:bodyPr/>
                      </wps:wsp>
                      <wps:wsp>
                        <wps:cNvPr id="9" name="Rectangle 9"/>
                        <wps:cNvSpPr/>
                        <wps:spPr>
                          <a:xfrm>
                            <a:off x="2998578" y="171241"/>
                            <a:ext cx="905344" cy="182288"/>
                          </a:xfrm>
                          <a:prstGeom prst="rect">
                            <a:avLst/>
                          </a:prstGeom>
                          <a:ln>
                            <a:noFill/>
                          </a:ln>
                        </wps:spPr>
                        <wps:txbx>
                          <w:txbxContent>
                            <w:p w14:paraId="4684A6CD" w14:textId="77777777" w:rsidR="00F9571B" w:rsidRDefault="001177CA">
                              <w:pPr>
                                <w:spacing w:after="160" w:line="259" w:lineRule="auto"/>
                                <w:ind w:left="0" w:right="0" w:firstLine="0"/>
                                <w:jc w:val="left"/>
                              </w:pPr>
                              <w:r>
                                <w:rPr>
                                  <w:w w:val="98"/>
                                  <w:sz w:val="16"/>
                                </w:rPr>
                                <w:t>Artery</w:t>
                              </w:r>
                              <w:r>
                                <w:rPr>
                                  <w:spacing w:val="-4"/>
                                  <w:w w:val="98"/>
                                  <w:sz w:val="16"/>
                                </w:rPr>
                                <w:t xml:space="preserve"> </w:t>
                              </w:r>
                              <w:r>
                                <w:rPr>
                                  <w:w w:val="98"/>
                                  <w:sz w:val="16"/>
                                </w:rPr>
                                <w:t>Research</w:t>
                              </w:r>
                              <w:r>
                                <w:rPr>
                                  <w:spacing w:val="-4"/>
                                  <w:w w:val="98"/>
                                  <w:sz w:val="16"/>
                                </w:rPr>
                                <w:t xml:space="preserve"> </w:t>
                              </w:r>
                            </w:p>
                          </w:txbxContent>
                        </wps:txbx>
                        <wps:bodyPr horzOverflow="overflow" vert="horz" lIns="0" tIns="0" rIns="0" bIns="0" rtlCol="0">
                          <a:noAutofit/>
                        </wps:bodyPr>
                      </wps:wsp>
                      <wps:wsp>
                        <wps:cNvPr id="10" name="Rectangle 10"/>
                        <wps:cNvSpPr/>
                        <wps:spPr>
                          <a:xfrm>
                            <a:off x="3679284" y="171241"/>
                            <a:ext cx="30674" cy="182288"/>
                          </a:xfrm>
                          <a:prstGeom prst="rect">
                            <a:avLst/>
                          </a:prstGeom>
                          <a:ln>
                            <a:noFill/>
                          </a:ln>
                        </wps:spPr>
                        <wps:txbx>
                          <w:txbxContent>
                            <w:p w14:paraId="1647C604" w14:textId="77777777" w:rsidR="00F9571B" w:rsidRDefault="001177CA">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1" name="Rectangle 11"/>
                        <wps:cNvSpPr/>
                        <wps:spPr>
                          <a:xfrm>
                            <a:off x="2446080" y="298241"/>
                            <a:ext cx="244717" cy="182288"/>
                          </a:xfrm>
                          <a:prstGeom prst="rect">
                            <a:avLst/>
                          </a:prstGeom>
                          <a:ln>
                            <a:noFill/>
                          </a:ln>
                        </wps:spPr>
                        <wps:txbx>
                          <w:txbxContent>
                            <w:p w14:paraId="1FB2B8AB" w14:textId="77777777" w:rsidR="00F9571B" w:rsidRDefault="001177CA">
                              <w:pPr>
                                <w:spacing w:after="160" w:line="259" w:lineRule="auto"/>
                                <w:ind w:left="0" w:right="0" w:firstLine="0"/>
                                <w:jc w:val="left"/>
                              </w:pPr>
                              <w:r>
                                <w:rPr>
                                  <w:w w:val="90"/>
                                  <w:sz w:val="16"/>
                                </w:rPr>
                                <w:t>Vol.</w:t>
                              </w:r>
                              <w:r>
                                <w:rPr>
                                  <w:spacing w:val="-4"/>
                                  <w:w w:val="90"/>
                                  <w:sz w:val="16"/>
                                </w:rPr>
                                <w:t xml:space="preserve"> </w:t>
                              </w:r>
                            </w:p>
                          </w:txbxContent>
                        </wps:txbx>
                        <wps:bodyPr horzOverflow="overflow" vert="horz" lIns="0" tIns="0" rIns="0" bIns="0" rtlCol="0">
                          <a:noAutofit/>
                        </wps:bodyPr>
                      </wps:wsp>
                      <wps:wsp>
                        <wps:cNvPr id="12" name="Rectangle 12"/>
                        <wps:cNvSpPr/>
                        <wps:spPr>
                          <a:xfrm>
                            <a:off x="2630077" y="294684"/>
                            <a:ext cx="135128" cy="187018"/>
                          </a:xfrm>
                          <a:prstGeom prst="rect">
                            <a:avLst/>
                          </a:prstGeom>
                          <a:ln>
                            <a:noFill/>
                          </a:ln>
                        </wps:spPr>
                        <wps:txbx>
                          <w:txbxContent>
                            <w:p w14:paraId="467253E8" w14:textId="77777777" w:rsidR="00F9571B" w:rsidRDefault="001177CA">
                              <w:pPr>
                                <w:spacing w:after="160" w:line="259" w:lineRule="auto"/>
                                <w:ind w:left="0" w:right="0" w:firstLine="0"/>
                                <w:jc w:val="left"/>
                              </w:pPr>
                              <w:r>
                                <w:rPr>
                                  <w:b/>
                                  <w:sz w:val="16"/>
                                </w:rPr>
                                <w:t>25</w:t>
                              </w:r>
                            </w:p>
                          </w:txbxContent>
                        </wps:txbx>
                        <wps:bodyPr horzOverflow="overflow" vert="horz" lIns="0" tIns="0" rIns="0" bIns="0" rtlCol="0">
                          <a:noAutofit/>
                        </wps:bodyPr>
                      </wps:wsp>
                      <wps:wsp>
                        <wps:cNvPr id="13" name="Rectangle 13"/>
                        <wps:cNvSpPr/>
                        <wps:spPr>
                          <a:xfrm>
                            <a:off x="2731677" y="298241"/>
                            <a:ext cx="46754" cy="182288"/>
                          </a:xfrm>
                          <a:prstGeom prst="rect">
                            <a:avLst/>
                          </a:prstGeom>
                          <a:ln>
                            <a:noFill/>
                          </a:ln>
                        </wps:spPr>
                        <wps:txbx>
                          <w:txbxContent>
                            <w:p w14:paraId="3320ADD0" w14:textId="77777777" w:rsidR="00F9571B" w:rsidRDefault="001177CA">
                              <w:pPr>
                                <w:spacing w:after="160" w:line="259" w:lineRule="auto"/>
                                <w:ind w:left="0" w:right="0" w:firstLine="0"/>
                                <w:jc w:val="left"/>
                              </w:pPr>
                              <w:r>
                                <w:rPr>
                                  <w:w w:val="103"/>
                                  <w:sz w:val="16"/>
                                </w:rPr>
                                <w:t>(</w:t>
                              </w:r>
                            </w:p>
                          </w:txbxContent>
                        </wps:txbx>
                        <wps:bodyPr horzOverflow="overflow" vert="horz" lIns="0" tIns="0" rIns="0" bIns="0" rtlCol="0">
                          <a:noAutofit/>
                        </wps:bodyPr>
                      </wps:wsp>
                      <wps:wsp>
                        <wps:cNvPr id="14" name="Rectangle 14"/>
                        <wps:cNvSpPr/>
                        <wps:spPr>
                          <a:xfrm>
                            <a:off x="2766830" y="294684"/>
                            <a:ext cx="181342" cy="187018"/>
                          </a:xfrm>
                          <a:prstGeom prst="rect">
                            <a:avLst/>
                          </a:prstGeom>
                          <a:ln>
                            <a:noFill/>
                          </a:ln>
                        </wps:spPr>
                        <wps:txbx>
                          <w:txbxContent>
                            <w:p w14:paraId="5622962A" w14:textId="77777777" w:rsidR="00F9571B" w:rsidRDefault="001177CA">
                              <w:pPr>
                                <w:spacing w:after="160" w:line="259" w:lineRule="auto"/>
                                <w:ind w:left="0" w:right="0" w:firstLine="0"/>
                                <w:jc w:val="left"/>
                              </w:pPr>
                              <w:r>
                                <w:rPr>
                                  <w:b/>
                                  <w:sz w:val="16"/>
                                </w:rPr>
                                <w:t>1-2</w:t>
                              </w:r>
                            </w:p>
                          </w:txbxContent>
                        </wps:txbx>
                        <wps:bodyPr horzOverflow="overflow" vert="horz" lIns="0" tIns="0" rIns="0" bIns="0" rtlCol="0">
                          <a:noAutofit/>
                        </wps:bodyPr>
                      </wps:wsp>
                      <wps:wsp>
                        <wps:cNvPr id="10538" name="Rectangle 10538"/>
                        <wps:cNvSpPr/>
                        <wps:spPr>
                          <a:xfrm>
                            <a:off x="2903177" y="298241"/>
                            <a:ext cx="46754" cy="182288"/>
                          </a:xfrm>
                          <a:prstGeom prst="rect">
                            <a:avLst/>
                          </a:prstGeom>
                          <a:ln>
                            <a:noFill/>
                          </a:ln>
                        </wps:spPr>
                        <wps:txbx>
                          <w:txbxContent>
                            <w:p w14:paraId="5CED01CE" w14:textId="77777777" w:rsidR="00F9571B" w:rsidRDefault="001177CA">
                              <w:pPr>
                                <w:spacing w:after="160" w:line="259" w:lineRule="auto"/>
                                <w:ind w:left="0" w:right="0" w:firstLine="0"/>
                                <w:jc w:val="left"/>
                              </w:pPr>
                              <w:r>
                                <w:rPr>
                                  <w:w w:val="103"/>
                                  <w:sz w:val="16"/>
                                </w:rPr>
                                <w:t>)</w:t>
                              </w:r>
                            </w:p>
                          </w:txbxContent>
                        </wps:txbx>
                        <wps:bodyPr horzOverflow="overflow" vert="horz" lIns="0" tIns="0" rIns="0" bIns="0" rtlCol="0">
                          <a:noAutofit/>
                        </wps:bodyPr>
                      </wps:wsp>
                      <wps:wsp>
                        <wps:cNvPr id="10539" name="Rectangle 10539"/>
                        <wps:cNvSpPr/>
                        <wps:spPr>
                          <a:xfrm>
                            <a:off x="2938330" y="298241"/>
                            <a:ext cx="1172627" cy="182288"/>
                          </a:xfrm>
                          <a:prstGeom prst="rect">
                            <a:avLst/>
                          </a:prstGeom>
                          <a:ln>
                            <a:noFill/>
                          </a:ln>
                        </wps:spPr>
                        <wps:txbx>
                          <w:txbxContent>
                            <w:p w14:paraId="26705C6B" w14:textId="77777777" w:rsidR="00F9571B" w:rsidRDefault="001177CA">
                              <w:pPr>
                                <w:spacing w:after="160" w:line="259" w:lineRule="auto"/>
                                <w:ind w:left="0" w:right="0" w:firstLine="0"/>
                                <w:jc w:val="left"/>
                              </w:pPr>
                              <w:r>
                                <w:rPr>
                                  <w:w w:val="98"/>
                                  <w:sz w:val="16"/>
                                </w:rPr>
                                <w:t>;</w:t>
                              </w:r>
                              <w:r>
                                <w:rPr>
                                  <w:spacing w:val="-4"/>
                                  <w:w w:val="98"/>
                                  <w:sz w:val="16"/>
                                </w:rPr>
                                <w:t xml:space="preserve"> </w:t>
                              </w:r>
                              <w:r>
                                <w:rPr>
                                  <w:w w:val="98"/>
                                  <w:sz w:val="16"/>
                                </w:rPr>
                                <w:t>March–June</w:t>
                              </w:r>
                              <w:r>
                                <w:rPr>
                                  <w:spacing w:val="-4"/>
                                  <w:w w:val="98"/>
                                  <w:sz w:val="16"/>
                                </w:rPr>
                                <w:t xml:space="preserve"> </w:t>
                              </w:r>
                              <w:r>
                                <w:rPr>
                                  <w:w w:val="98"/>
                                  <w:sz w:val="16"/>
                                </w:rPr>
                                <w:t>(2019),</w:t>
                              </w:r>
                              <w:r>
                                <w:rPr>
                                  <w:spacing w:val="-4"/>
                                  <w:w w:val="98"/>
                                  <w:sz w:val="16"/>
                                </w:rPr>
                                <w:t xml:space="preserve"> </w:t>
                              </w:r>
                            </w:p>
                          </w:txbxContent>
                        </wps:txbx>
                        <wps:bodyPr horzOverflow="overflow" vert="horz" lIns="0" tIns="0" rIns="0" bIns="0" rtlCol="0">
                          <a:noAutofit/>
                        </wps:bodyPr>
                      </wps:wsp>
                      <wps:wsp>
                        <wps:cNvPr id="16" name="Rectangle 16"/>
                        <wps:cNvSpPr/>
                        <wps:spPr>
                          <a:xfrm>
                            <a:off x="3820003" y="296920"/>
                            <a:ext cx="156613" cy="184044"/>
                          </a:xfrm>
                          <a:prstGeom prst="rect">
                            <a:avLst/>
                          </a:prstGeom>
                          <a:ln>
                            <a:noFill/>
                          </a:ln>
                        </wps:spPr>
                        <wps:txbx>
                          <w:txbxContent>
                            <w:p w14:paraId="00F254DA" w14:textId="77777777" w:rsidR="00F9571B" w:rsidRDefault="001177CA">
                              <w:pPr>
                                <w:spacing w:after="160" w:line="259" w:lineRule="auto"/>
                                <w:ind w:left="0" w:right="0" w:firstLine="0"/>
                                <w:jc w:val="left"/>
                              </w:pPr>
                              <w:r>
                                <w:rPr>
                                  <w:i/>
                                  <w:w w:val="92"/>
                                  <w:sz w:val="16"/>
                                </w:rPr>
                                <w:t>pp.</w:t>
                              </w:r>
                            </w:p>
                          </w:txbxContent>
                        </wps:txbx>
                        <wps:bodyPr horzOverflow="overflow" vert="horz" lIns="0" tIns="0" rIns="0" bIns="0" rtlCol="0">
                          <a:noAutofit/>
                        </wps:bodyPr>
                      </wps:wsp>
                      <wps:wsp>
                        <wps:cNvPr id="17" name="Rectangle 17"/>
                        <wps:cNvSpPr/>
                        <wps:spPr>
                          <a:xfrm>
                            <a:off x="3937757" y="298241"/>
                            <a:ext cx="360386" cy="182288"/>
                          </a:xfrm>
                          <a:prstGeom prst="rect">
                            <a:avLst/>
                          </a:prstGeom>
                          <a:ln>
                            <a:noFill/>
                          </a:ln>
                        </wps:spPr>
                        <wps:txbx>
                          <w:txbxContent>
                            <w:p w14:paraId="059657ED" w14:textId="77777777" w:rsidR="00F9571B" w:rsidRDefault="001177CA">
                              <w:pPr>
                                <w:spacing w:after="160" w:line="259" w:lineRule="auto"/>
                                <w:ind w:left="0" w:right="0" w:firstLine="0"/>
                                <w:jc w:val="left"/>
                              </w:pPr>
                              <w:r>
                                <w:rPr>
                                  <w:spacing w:val="-4"/>
                                  <w:w w:val="97"/>
                                  <w:sz w:val="16"/>
                                </w:rPr>
                                <w:t xml:space="preserve"> </w:t>
                              </w:r>
                              <w:r>
                                <w:rPr>
                                  <w:w w:val="97"/>
                                  <w:sz w:val="16"/>
                                </w:rPr>
                                <w:t>19–25</w:t>
                              </w:r>
                            </w:p>
                          </w:txbxContent>
                        </wps:txbx>
                        <wps:bodyPr horzOverflow="overflow" vert="horz" lIns="0" tIns="0" rIns="0" bIns="0" rtlCol="0">
                          <a:noAutofit/>
                        </wps:bodyPr>
                      </wps:wsp>
                      <wps:wsp>
                        <wps:cNvPr id="18" name="Rectangle 18"/>
                        <wps:cNvSpPr/>
                        <wps:spPr>
                          <a:xfrm>
                            <a:off x="1611399" y="425241"/>
                            <a:ext cx="309038" cy="182288"/>
                          </a:xfrm>
                          <a:prstGeom prst="rect">
                            <a:avLst/>
                          </a:prstGeom>
                          <a:ln>
                            <a:noFill/>
                          </a:ln>
                        </wps:spPr>
                        <wps:txbx>
                          <w:txbxContent>
                            <w:p w14:paraId="6C1C39D5" w14:textId="77777777" w:rsidR="00F9571B" w:rsidRDefault="001177CA">
                              <w:pPr>
                                <w:spacing w:after="160" w:line="259" w:lineRule="auto"/>
                                <w:ind w:left="0" w:right="0" w:firstLine="0"/>
                                <w:jc w:val="left"/>
                              </w:pPr>
                              <w:r>
                                <w:rPr>
                                  <w:w w:val="99"/>
                                  <w:sz w:val="16"/>
                                </w:rPr>
                                <w:t>DOI:</w:t>
                              </w:r>
                              <w:r>
                                <w:rPr>
                                  <w:spacing w:val="-4"/>
                                  <w:w w:val="99"/>
                                  <w:sz w:val="16"/>
                                </w:rPr>
                                <w:t xml:space="preserve"> </w:t>
                              </w:r>
                            </w:p>
                          </w:txbxContent>
                        </wps:txbx>
                        <wps:bodyPr horzOverflow="overflow" vert="horz" lIns="0" tIns="0" rIns="0" bIns="0" rtlCol="0">
                          <a:noAutofit/>
                        </wps:bodyPr>
                      </wps:wsp>
                      <wps:wsp>
                        <wps:cNvPr id="203" name="Rectangle 203"/>
                        <wps:cNvSpPr/>
                        <wps:spPr>
                          <a:xfrm>
                            <a:off x="1843753" y="425241"/>
                            <a:ext cx="2269056" cy="182288"/>
                          </a:xfrm>
                          <a:prstGeom prst="rect">
                            <a:avLst/>
                          </a:prstGeom>
                          <a:ln>
                            <a:noFill/>
                          </a:ln>
                        </wps:spPr>
                        <wps:txbx>
                          <w:txbxContent>
                            <w:p w14:paraId="63FECC99" w14:textId="77777777" w:rsidR="00F9571B" w:rsidRDefault="001177CA">
                              <w:pPr>
                                <w:spacing w:after="160" w:line="259" w:lineRule="auto"/>
                                <w:ind w:left="0" w:right="0" w:firstLine="0"/>
                                <w:jc w:val="left"/>
                              </w:pPr>
                              <w:r>
                                <w:rPr>
                                  <w:w w:val="99"/>
                                  <w:sz w:val="16"/>
                                </w:rPr>
                                <w:t>https://doi.org/10.2991/artres.k.191106.00</w:t>
                              </w:r>
                            </w:p>
                          </w:txbxContent>
                        </wps:txbx>
                        <wps:bodyPr horzOverflow="overflow" vert="horz" lIns="0" tIns="0" rIns="0" bIns="0" rtlCol="0">
                          <a:noAutofit/>
                        </wps:bodyPr>
                      </wps:wsp>
                      <wps:wsp>
                        <wps:cNvPr id="204" name="Rectangle 204"/>
                        <wps:cNvSpPr/>
                        <wps:spPr>
                          <a:xfrm>
                            <a:off x="3549810" y="425241"/>
                            <a:ext cx="64861" cy="182288"/>
                          </a:xfrm>
                          <a:prstGeom prst="rect">
                            <a:avLst/>
                          </a:prstGeom>
                          <a:ln>
                            <a:noFill/>
                          </a:ln>
                        </wps:spPr>
                        <wps:txbx>
                          <w:txbxContent>
                            <w:p w14:paraId="1EA8E5DC" w14:textId="77777777" w:rsidR="00F9571B" w:rsidRDefault="001177CA">
                              <w:pPr>
                                <w:spacing w:after="160" w:line="259" w:lineRule="auto"/>
                                <w:ind w:left="0" w:right="0" w:firstLine="0"/>
                                <w:jc w:val="left"/>
                              </w:pPr>
                              <w:hyperlink r:id="rId10">
                                <w:r>
                                  <w:rPr>
                                    <w:w w:val="95"/>
                                    <w:sz w:val="16"/>
                                  </w:rPr>
                                  <w:t>1</w:t>
                                </w:r>
                              </w:hyperlink>
                            </w:p>
                          </w:txbxContent>
                        </wps:txbx>
                        <wps:bodyPr horzOverflow="overflow" vert="horz" lIns="0" tIns="0" rIns="0" bIns="0" rtlCol="0">
                          <a:noAutofit/>
                        </wps:bodyPr>
                      </wps:wsp>
                      <wps:wsp>
                        <wps:cNvPr id="205" name="Rectangle 205"/>
                        <wps:cNvSpPr/>
                        <wps:spPr>
                          <a:xfrm>
                            <a:off x="3598565" y="425241"/>
                            <a:ext cx="30809" cy="182288"/>
                          </a:xfrm>
                          <a:prstGeom prst="rect">
                            <a:avLst/>
                          </a:prstGeom>
                          <a:ln>
                            <a:noFill/>
                          </a:ln>
                        </wps:spPr>
                        <wps:txbx>
                          <w:txbxContent>
                            <w:p w14:paraId="63264B2E" w14:textId="77777777" w:rsidR="00F9571B" w:rsidRDefault="001177CA">
                              <w:pPr>
                                <w:spacing w:after="160" w:line="259" w:lineRule="auto"/>
                                <w:ind w:left="0" w:right="0" w:firstLine="0"/>
                                <w:jc w:val="left"/>
                              </w:pPr>
                              <w:hyperlink r:id="rId11">
                                <w:r>
                                  <w:rPr>
                                    <w:w w:val="82"/>
                                    <w:sz w:val="16"/>
                                  </w:rPr>
                                  <w:t>;</w:t>
                                </w:r>
                              </w:hyperlink>
                            </w:p>
                          </w:txbxContent>
                        </wps:txbx>
                        <wps:bodyPr horzOverflow="overflow" vert="horz" lIns="0" tIns="0" rIns="0" bIns="0" rtlCol="0">
                          <a:noAutofit/>
                        </wps:bodyPr>
                      </wps:wsp>
                      <wps:wsp>
                        <wps:cNvPr id="206" name="Rectangle 206"/>
                        <wps:cNvSpPr/>
                        <wps:spPr>
                          <a:xfrm>
                            <a:off x="3621730" y="425241"/>
                            <a:ext cx="1890832" cy="182288"/>
                          </a:xfrm>
                          <a:prstGeom prst="rect">
                            <a:avLst/>
                          </a:prstGeom>
                          <a:ln>
                            <a:noFill/>
                          </a:ln>
                        </wps:spPr>
                        <wps:txbx>
                          <w:txbxContent>
                            <w:p w14:paraId="738FF4C7" w14:textId="77777777" w:rsidR="00F9571B" w:rsidRDefault="001177CA">
                              <w:pPr>
                                <w:spacing w:after="160" w:line="259" w:lineRule="auto"/>
                                <w:ind w:left="0" w:right="0" w:firstLine="0"/>
                                <w:jc w:val="left"/>
                              </w:pPr>
                              <w:r>
                                <w:rPr>
                                  <w:spacing w:val="-4"/>
                                  <w:w w:val="95"/>
                                  <w:sz w:val="16"/>
                                </w:rPr>
                                <w:t xml:space="preserve"> </w:t>
                              </w:r>
                              <w:r>
                                <w:rPr>
                                  <w:w w:val="95"/>
                                  <w:sz w:val="16"/>
                                </w:rPr>
                                <w:t>ISSN</w:t>
                              </w:r>
                              <w:r>
                                <w:rPr>
                                  <w:spacing w:val="-4"/>
                                  <w:w w:val="95"/>
                                  <w:sz w:val="16"/>
                                </w:rPr>
                                <w:t xml:space="preserve"> </w:t>
                              </w:r>
                              <w:r>
                                <w:rPr>
                                  <w:w w:val="95"/>
                                  <w:sz w:val="16"/>
                                </w:rPr>
                                <w:t>1872-9312;</w:t>
                              </w:r>
                              <w:r>
                                <w:rPr>
                                  <w:spacing w:val="-4"/>
                                  <w:w w:val="95"/>
                                  <w:sz w:val="16"/>
                                </w:rPr>
                                <w:t xml:space="preserve"> </w:t>
                              </w:r>
                              <w:proofErr w:type="spellStart"/>
                              <w:r>
                                <w:rPr>
                                  <w:w w:val="95"/>
                                  <w:sz w:val="16"/>
                                </w:rPr>
                                <w:t>eISSN</w:t>
                              </w:r>
                              <w:proofErr w:type="spellEnd"/>
                              <w:r>
                                <w:rPr>
                                  <w:spacing w:val="-4"/>
                                  <w:w w:val="95"/>
                                  <w:sz w:val="16"/>
                                </w:rPr>
                                <w:t xml:space="preserve"> </w:t>
                              </w:r>
                              <w:r>
                                <w:rPr>
                                  <w:w w:val="95"/>
                                  <w:sz w:val="16"/>
                                </w:rPr>
                                <w:t>1876-4401</w:t>
                              </w:r>
                            </w:p>
                          </w:txbxContent>
                        </wps:txbx>
                        <wps:bodyPr horzOverflow="overflow" vert="horz" lIns="0" tIns="0" rIns="0" bIns="0" rtlCol="0">
                          <a:noAutofit/>
                        </wps:bodyPr>
                      </wps:wsp>
                      <wps:wsp>
                        <wps:cNvPr id="21" name="Rectangle 21"/>
                        <wps:cNvSpPr/>
                        <wps:spPr>
                          <a:xfrm>
                            <a:off x="5043401" y="425241"/>
                            <a:ext cx="30674" cy="182288"/>
                          </a:xfrm>
                          <a:prstGeom prst="rect">
                            <a:avLst/>
                          </a:prstGeom>
                          <a:ln>
                            <a:noFill/>
                          </a:ln>
                        </wps:spPr>
                        <wps:txbx>
                          <w:txbxContent>
                            <w:p w14:paraId="647A9281" w14:textId="77777777" w:rsidR="00F9571B" w:rsidRDefault="001177CA">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207" name="Rectangle 207"/>
                        <wps:cNvSpPr/>
                        <wps:spPr>
                          <a:xfrm>
                            <a:off x="2384517" y="552241"/>
                            <a:ext cx="2458479" cy="182288"/>
                          </a:xfrm>
                          <a:prstGeom prst="rect">
                            <a:avLst/>
                          </a:prstGeom>
                          <a:ln>
                            <a:noFill/>
                          </a:ln>
                        </wps:spPr>
                        <wps:txbx>
                          <w:txbxContent>
                            <w:p w14:paraId="10117C45" w14:textId="77777777" w:rsidR="00F9571B" w:rsidRDefault="001177CA">
                              <w:pPr>
                                <w:spacing w:after="160" w:line="259" w:lineRule="auto"/>
                                <w:ind w:left="0" w:right="0" w:firstLine="0"/>
                                <w:jc w:val="left"/>
                              </w:pPr>
                              <w:r>
                                <w:rPr>
                                  <w:sz w:val="16"/>
                                </w:rPr>
                                <w:t>https://www.atlantis-press.com/journals/artre</w:t>
                              </w:r>
                            </w:p>
                          </w:txbxContent>
                        </wps:txbx>
                        <wps:bodyPr horzOverflow="overflow" vert="horz" lIns="0" tIns="0" rIns="0" bIns="0" rtlCol="0">
                          <a:noAutofit/>
                        </wps:bodyPr>
                      </wps:wsp>
                      <wps:wsp>
                        <wps:cNvPr id="208" name="Rectangle 208"/>
                        <wps:cNvSpPr/>
                        <wps:spPr>
                          <a:xfrm>
                            <a:off x="4232997" y="552241"/>
                            <a:ext cx="49592" cy="182288"/>
                          </a:xfrm>
                          <a:prstGeom prst="rect">
                            <a:avLst/>
                          </a:prstGeom>
                          <a:ln>
                            <a:noFill/>
                          </a:ln>
                        </wps:spPr>
                        <wps:txbx>
                          <w:txbxContent>
                            <w:p w14:paraId="66E3F3F2" w14:textId="77777777" w:rsidR="00F9571B" w:rsidRDefault="001177CA">
                              <w:pPr>
                                <w:spacing w:after="160" w:line="259" w:lineRule="auto"/>
                                <w:ind w:left="0" w:right="0" w:firstLine="0"/>
                                <w:jc w:val="left"/>
                              </w:pPr>
                              <w:hyperlink r:id="rId12">
                                <w:proofErr w:type="gramStart"/>
                                <w:r>
                                  <w:rPr>
                                    <w:w w:val="94"/>
                                    <w:sz w:val="16"/>
                                  </w:rPr>
                                  <w:t>s</w:t>
                                </w:r>
                                <w:proofErr w:type="gramEnd"/>
                              </w:hyperlink>
                            </w:p>
                          </w:txbxContent>
                        </wps:txbx>
                        <wps:bodyPr horzOverflow="overflow" vert="horz" lIns="0" tIns="0" rIns="0" bIns="0" rtlCol="0">
                          <a:noAutofit/>
                        </wps:bodyPr>
                      </wps:wsp>
                      <pic:pic xmlns:pic="http://schemas.openxmlformats.org/drawingml/2006/picture">
                        <pic:nvPicPr>
                          <pic:cNvPr id="24" name="Picture 24"/>
                          <pic:cNvPicPr/>
                        </pic:nvPicPr>
                        <pic:blipFill>
                          <a:blip r:embed="rId13"/>
                          <a:stretch>
                            <a:fillRect/>
                          </a:stretch>
                        </pic:blipFill>
                        <pic:spPr>
                          <a:xfrm>
                            <a:off x="1417" y="305439"/>
                            <a:ext cx="912582" cy="239705"/>
                          </a:xfrm>
                          <a:prstGeom prst="rect">
                            <a:avLst/>
                          </a:prstGeom>
                        </pic:spPr>
                      </pic:pic>
                      <wps:wsp>
                        <wps:cNvPr id="12968" name="Shape 12968"/>
                        <wps:cNvSpPr/>
                        <wps:spPr>
                          <a:xfrm>
                            <a:off x="5904040" y="87441"/>
                            <a:ext cx="515112" cy="687324"/>
                          </a:xfrm>
                          <a:custGeom>
                            <a:avLst/>
                            <a:gdLst/>
                            <a:ahLst/>
                            <a:cxnLst/>
                            <a:rect l="0" t="0" r="0" b="0"/>
                            <a:pathLst>
                              <a:path w="515112" h="687324">
                                <a:moveTo>
                                  <a:pt x="0" y="0"/>
                                </a:moveTo>
                                <a:lnTo>
                                  <a:pt x="515112" y="0"/>
                                </a:lnTo>
                                <a:lnTo>
                                  <a:pt x="515112" y="687324"/>
                                </a:lnTo>
                                <a:lnTo>
                                  <a:pt x="0" y="687324"/>
                                </a:lnTo>
                                <a:lnTo>
                                  <a:pt x="0" y="0"/>
                                </a:lnTo>
                              </a:path>
                            </a:pathLst>
                          </a:custGeom>
                          <a:ln w="0" cap="flat">
                            <a:miter lim="127000"/>
                          </a:ln>
                        </wps:spPr>
                        <wps:style>
                          <a:lnRef idx="0">
                            <a:srgbClr val="000000">
                              <a:alpha val="0"/>
                            </a:srgbClr>
                          </a:lnRef>
                          <a:fillRef idx="1">
                            <a:srgbClr val="181717">
                              <a:alpha val="54901"/>
                            </a:srgbClr>
                          </a:fillRef>
                          <a:effectRef idx="0">
                            <a:scrgbClr r="0" g="0" b="0"/>
                          </a:effectRef>
                          <a:fontRef idx="none"/>
                        </wps:style>
                        <wps:bodyPr/>
                      </wps:wsp>
                      <pic:pic xmlns:pic="http://schemas.openxmlformats.org/drawingml/2006/picture">
                        <pic:nvPicPr>
                          <pic:cNvPr id="12643" name="Picture 12643"/>
                          <pic:cNvPicPr/>
                        </pic:nvPicPr>
                        <pic:blipFill>
                          <a:blip r:embed="rId14"/>
                          <a:stretch>
                            <a:fillRect/>
                          </a:stretch>
                        </pic:blipFill>
                        <pic:spPr>
                          <a:xfrm>
                            <a:off x="5894832" y="77776"/>
                            <a:ext cx="518160" cy="691896"/>
                          </a:xfrm>
                          <a:prstGeom prst="rect">
                            <a:avLst/>
                          </a:prstGeom>
                        </pic:spPr>
                      </pic:pic>
                      <wps:wsp>
                        <wps:cNvPr id="28" name="Shape 28"/>
                        <wps:cNvSpPr/>
                        <wps:spPr>
                          <a:xfrm>
                            <a:off x="5897702" y="82107"/>
                            <a:ext cx="514401" cy="686079"/>
                          </a:xfrm>
                          <a:custGeom>
                            <a:avLst/>
                            <a:gdLst/>
                            <a:ahLst/>
                            <a:cxnLst/>
                            <a:rect l="0" t="0" r="0" b="0"/>
                            <a:pathLst>
                              <a:path w="514401" h="686079">
                                <a:moveTo>
                                  <a:pt x="0" y="686079"/>
                                </a:moveTo>
                                <a:lnTo>
                                  <a:pt x="514401" y="686079"/>
                                </a:lnTo>
                                <a:lnTo>
                                  <a:pt x="514401" y="0"/>
                                </a:lnTo>
                                <a:lnTo>
                                  <a:pt x="0" y="0"/>
                                </a:lnTo>
                                <a:close/>
                              </a:path>
                            </a:pathLst>
                          </a:custGeom>
                          <a:ln w="2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48" style="width:523.3pt;height:67.9747pt;mso-position-horizontal-relative:char;mso-position-vertical-relative:line" coordsize="66459,8632">
                <v:shape id="Shape 6" style="position:absolute;width:66459;height:4;left:0;top:0;" coordsize="6645910,444" path="m0,0l6645910,444">
                  <v:stroke weight="1pt" endcap="flat" joinstyle="miter" miterlimit="4" on="true" color="#181717"/>
                  <v:fill on="false" color="#000000" opacity="0"/>
                </v:shape>
                <v:shape id="Shape 7" style="position:absolute;width:66459;height:1;left:0;top:8630;" coordsize="6645910,190" path="m0,190l6645910,0">
                  <v:stroke weight="3pt" endcap="flat" joinstyle="miter" miterlimit="4" on="true" color="#181717"/>
                  <v:fill on="false" color="#000000" opacity="0"/>
                </v:shape>
                <v:shape id="Shape 12969" style="position:absolute;width:46736;height:6858;left:9906;top:823;" coordsize="4673600,685800" path="m0,0l4673600,0l4673600,685800l0,685800l0,0">
                  <v:stroke weight="0pt" endcap="flat" joinstyle="miter" miterlimit="10" on="false" color="#000000" opacity="0"/>
                  <v:fill on="true" color="#dedddc"/>
                </v:shape>
                <v:rect id="Rectangle 9" style="position:absolute;width:9053;height:1822;left:29985;top:1712;" filled="f" stroked="f">
                  <v:textbox inset="0,0,0,0">
                    <w:txbxContent>
                      <w:p>
                        <w:pPr>
                          <w:spacing w:before="0" w:after="160" w:line="259" w:lineRule="auto"/>
                          <w:ind w:left="0" w:right="0" w:firstLine="0"/>
                          <w:jc w:val="left"/>
                        </w:pPr>
                        <w:r>
                          <w:rPr>
                            <w:w w:val="98"/>
                            <w:sz w:val="16"/>
                          </w:rPr>
                          <w:t xml:space="preserve">Artery</w:t>
                        </w:r>
                        <w:r>
                          <w:rPr>
                            <w:spacing w:val="-4"/>
                            <w:w w:val="98"/>
                            <w:sz w:val="16"/>
                          </w:rPr>
                          <w:t xml:space="preserve"> </w:t>
                        </w:r>
                        <w:r>
                          <w:rPr>
                            <w:w w:val="98"/>
                            <w:sz w:val="16"/>
                          </w:rPr>
                          <w:t xml:space="preserve">Research</w:t>
                        </w:r>
                        <w:r>
                          <w:rPr>
                            <w:spacing w:val="-4"/>
                            <w:w w:val="98"/>
                            <w:sz w:val="16"/>
                          </w:rPr>
                          <w:t xml:space="preserve"> </w:t>
                        </w:r>
                      </w:p>
                    </w:txbxContent>
                  </v:textbox>
                </v:rect>
                <v:rect id="Rectangle 10" style="position:absolute;width:306;height:1822;left:36792;top:1712;" filled="f" stroked="f">
                  <v:textbox inset="0,0,0,0">
                    <w:txbxContent>
                      <w:p>
                        <w:pPr>
                          <w:spacing w:before="0" w:after="160" w:line="259" w:lineRule="auto"/>
                          <w:ind w:left="0" w:right="0" w:firstLine="0"/>
                          <w:jc w:val="left"/>
                        </w:pPr>
                        <w:r>
                          <w:rPr>
                            <w:sz w:val="16"/>
                          </w:rPr>
                          <w:t xml:space="preserve"> </w:t>
                        </w:r>
                      </w:p>
                    </w:txbxContent>
                  </v:textbox>
                </v:rect>
                <v:rect id="Rectangle 11" style="position:absolute;width:2447;height:1822;left:24460;top:2982;" filled="f" stroked="f">
                  <v:textbox inset="0,0,0,0">
                    <w:txbxContent>
                      <w:p>
                        <w:pPr>
                          <w:spacing w:before="0" w:after="160" w:line="259" w:lineRule="auto"/>
                          <w:ind w:left="0" w:right="0" w:firstLine="0"/>
                          <w:jc w:val="left"/>
                        </w:pPr>
                        <w:r>
                          <w:rPr>
                            <w:w w:val="90"/>
                            <w:sz w:val="16"/>
                          </w:rPr>
                          <w:t xml:space="preserve">Vol.</w:t>
                        </w:r>
                        <w:r>
                          <w:rPr>
                            <w:spacing w:val="-4"/>
                            <w:w w:val="90"/>
                            <w:sz w:val="16"/>
                          </w:rPr>
                          <w:t xml:space="preserve"> </w:t>
                        </w:r>
                      </w:p>
                    </w:txbxContent>
                  </v:textbox>
                </v:rect>
                <v:rect id="Rectangle 12" style="position:absolute;width:1351;height:1870;left:26300;top:2946;"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6"/>
                          </w:rPr>
                          <w:t xml:space="preserve">25</w:t>
                        </w:r>
                      </w:p>
                    </w:txbxContent>
                  </v:textbox>
                </v:rect>
                <v:rect id="Rectangle 13" style="position:absolute;width:467;height:1822;left:27316;top:2982;" filled="f" stroked="f">
                  <v:textbox inset="0,0,0,0">
                    <w:txbxContent>
                      <w:p>
                        <w:pPr>
                          <w:spacing w:before="0" w:after="160" w:line="259" w:lineRule="auto"/>
                          <w:ind w:left="0" w:right="0" w:firstLine="0"/>
                          <w:jc w:val="left"/>
                        </w:pPr>
                        <w:r>
                          <w:rPr>
                            <w:w w:val="103"/>
                            <w:sz w:val="16"/>
                          </w:rPr>
                          <w:t xml:space="preserve">(</w:t>
                        </w:r>
                      </w:p>
                    </w:txbxContent>
                  </v:textbox>
                </v:rect>
                <v:rect id="Rectangle 14" style="position:absolute;width:1813;height:1870;left:27668;top:2946;" filled="f" stroked="f">
                  <v:textbox inset="0,0,0,0">
                    <w:txbxContent>
                      <w:p>
                        <w:pPr>
                          <w:spacing w:before="0" w:after="160" w:line="259" w:lineRule="auto"/>
                          <w:ind w:left="0" w:right="0" w:firstLine="0"/>
                          <w:jc w:val="left"/>
                        </w:pPr>
                        <w:r>
                          <w:rPr>
                            <w:rFonts w:cs="Times New Roman" w:hAnsi="Times New Roman" w:eastAsia="Times New Roman" w:ascii="Times New Roman"/>
                            <w:b w:val="1"/>
                            <w:w w:val="100"/>
                            <w:sz w:val="16"/>
                          </w:rPr>
                          <w:t xml:space="preserve">1-2</w:t>
                        </w:r>
                      </w:p>
                    </w:txbxContent>
                  </v:textbox>
                </v:rect>
                <v:rect id="Rectangle 10538" style="position:absolute;width:467;height:1822;left:29031;top:2982;" filled="f" stroked="f">
                  <v:textbox inset="0,0,0,0">
                    <w:txbxContent>
                      <w:p>
                        <w:pPr>
                          <w:spacing w:before="0" w:after="160" w:line="259" w:lineRule="auto"/>
                          <w:ind w:left="0" w:right="0" w:firstLine="0"/>
                          <w:jc w:val="left"/>
                        </w:pPr>
                        <w:r>
                          <w:rPr>
                            <w:w w:val="103"/>
                            <w:sz w:val="16"/>
                          </w:rPr>
                          <w:t xml:space="preserve">)</w:t>
                        </w:r>
                      </w:p>
                    </w:txbxContent>
                  </v:textbox>
                </v:rect>
                <v:rect id="Rectangle 10539" style="position:absolute;width:11726;height:1822;left:29383;top:2982;" filled="f" stroked="f">
                  <v:textbox inset="0,0,0,0">
                    <w:txbxContent>
                      <w:p>
                        <w:pPr>
                          <w:spacing w:before="0" w:after="160" w:line="259" w:lineRule="auto"/>
                          <w:ind w:left="0" w:right="0" w:firstLine="0"/>
                          <w:jc w:val="left"/>
                        </w:pPr>
                        <w:r>
                          <w:rPr>
                            <w:w w:val="98"/>
                            <w:sz w:val="16"/>
                          </w:rPr>
                          <w:t xml:space="preserve">;</w:t>
                        </w:r>
                        <w:r>
                          <w:rPr>
                            <w:spacing w:val="-4"/>
                            <w:w w:val="98"/>
                            <w:sz w:val="16"/>
                          </w:rPr>
                          <w:t xml:space="preserve"> </w:t>
                        </w:r>
                        <w:r>
                          <w:rPr>
                            <w:w w:val="98"/>
                            <w:sz w:val="16"/>
                          </w:rPr>
                          <w:t xml:space="preserve">March–June</w:t>
                        </w:r>
                        <w:r>
                          <w:rPr>
                            <w:spacing w:val="-4"/>
                            <w:w w:val="98"/>
                            <w:sz w:val="16"/>
                          </w:rPr>
                          <w:t xml:space="preserve"> </w:t>
                        </w:r>
                        <w:r>
                          <w:rPr>
                            <w:w w:val="98"/>
                            <w:sz w:val="16"/>
                          </w:rPr>
                          <w:t xml:space="preserve">(2019),</w:t>
                        </w:r>
                        <w:r>
                          <w:rPr>
                            <w:spacing w:val="-4"/>
                            <w:w w:val="98"/>
                            <w:sz w:val="16"/>
                          </w:rPr>
                          <w:t xml:space="preserve"> </w:t>
                        </w:r>
                      </w:p>
                    </w:txbxContent>
                  </v:textbox>
                </v:rect>
                <v:rect id="Rectangle 16" style="position:absolute;width:1566;height:1840;left:38200;top:2969;" filled="f" stroked="f">
                  <v:textbox inset="0,0,0,0">
                    <w:txbxContent>
                      <w:p>
                        <w:pPr>
                          <w:spacing w:before="0" w:after="160" w:line="259" w:lineRule="auto"/>
                          <w:ind w:left="0" w:right="0" w:firstLine="0"/>
                          <w:jc w:val="left"/>
                        </w:pPr>
                        <w:r>
                          <w:rPr>
                            <w:rFonts w:cs="Times New Roman" w:hAnsi="Times New Roman" w:eastAsia="Times New Roman" w:ascii="Times New Roman"/>
                            <w:i w:val="1"/>
                            <w:w w:val="92"/>
                            <w:sz w:val="16"/>
                          </w:rPr>
                          <w:t xml:space="preserve">pp.</w:t>
                        </w:r>
                      </w:p>
                    </w:txbxContent>
                  </v:textbox>
                </v:rect>
                <v:rect id="Rectangle 17" style="position:absolute;width:3603;height:1822;left:39377;top:2982;" filled="f" stroked="f">
                  <v:textbox inset="0,0,0,0">
                    <w:txbxContent>
                      <w:p>
                        <w:pPr>
                          <w:spacing w:before="0" w:after="160" w:line="259" w:lineRule="auto"/>
                          <w:ind w:left="0" w:right="0" w:firstLine="0"/>
                          <w:jc w:val="left"/>
                        </w:pPr>
                        <w:r>
                          <w:rPr>
                            <w:spacing w:val="-4"/>
                            <w:w w:val="97"/>
                            <w:sz w:val="16"/>
                          </w:rPr>
                          <w:t xml:space="preserve"> </w:t>
                        </w:r>
                        <w:r>
                          <w:rPr>
                            <w:w w:val="97"/>
                            <w:sz w:val="16"/>
                          </w:rPr>
                          <w:t xml:space="preserve">19–25</w:t>
                        </w:r>
                      </w:p>
                    </w:txbxContent>
                  </v:textbox>
                </v:rect>
                <v:rect id="Rectangle 18" style="position:absolute;width:3090;height:1822;left:16113;top:4252;" filled="f" stroked="f">
                  <v:textbox inset="0,0,0,0">
                    <w:txbxContent>
                      <w:p>
                        <w:pPr>
                          <w:spacing w:before="0" w:after="160" w:line="259" w:lineRule="auto"/>
                          <w:ind w:left="0" w:right="0" w:firstLine="0"/>
                          <w:jc w:val="left"/>
                        </w:pPr>
                        <w:r>
                          <w:rPr>
                            <w:w w:val="99"/>
                            <w:sz w:val="16"/>
                          </w:rPr>
                          <w:t xml:space="preserve">DOI:</w:t>
                        </w:r>
                        <w:r>
                          <w:rPr>
                            <w:spacing w:val="-4"/>
                            <w:w w:val="99"/>
                            <w:sz w:val="16"/>
                          </w:rPr>
                          <w:t xml:space="preserve"> </w:t>
                        </w:r>
                      </w:p>
                    </w:txbxContent>
                  </v:textbox>
                </v:rect>
                <v:rect id="Rectangle 203" style="position:absolute;width:22690;height:1822;left:18437;top:4252;" filled="f" stroked="f">
                  <v:textbox inset="0,0,0,0">
                    <w:txbxContent>
                      <w:p>
                        <w:pPr>
                          <w:spacing w:before="0" w:after="160" w:line="259" w:lineRule="auto"/>
                          <w:ind w:left="0" w:right="0" w:firstLine="0"/>
                          <w:jc w:val="left"/>
                        </w:pPr>
                        <w:r>
                          <w:rPr>
                            <w:w w:val="99"/>
                            <w:sz w:val="16"/>
                          </w:rPr>
                          <w:t xml:space="preserve">https://doi.org/10.2991/artres.k.191106.00</w:t>
                        </w:r>
                      </w:p>
                    </w:txbxContent>
                  </v:textbox>
                </v:rect>
                <v:rect id="Rectangle 204" style="position:absolute;width:648;height:1822;left:35498;top:4252;" filled="f" stroked="f">
                  <v:textbox inset="0,0,0,0">
                    <w:txbxContent>
                      <w:p>
                        <w:pPr>
                          <w:spacing w:before="0" w:after="160" w:line="259" w:lineRule="auto"/>
                          <w:ind w:left="0" w:right="0" w:firstLine="0"/>
                          <w:jc w:val="left"/>
                        </w:pPr>
                        <w:hyperlink r:id="hyperlink191">
                          <w:r>
                            <w:rPr>
                              <w:w w:val="95"/>
                              <w:sz w:val="16"/>
                            </w:rPr>
                            <w:t xml:space="preserve">1</w:t>
                          </w:r>
                        </w:hyperlink>
                      </w:p>
                    </w:txbxContent>
                  </v:textbox>
                </v:rect>
                <v:rect id="Rectangle 205" style="position:absolute;width:308;height:1822;left:35985;top:4252;" filled="f" stroked="f">
                  <v:textbox inset="0,0,0,0">
                    <w:txbxContent>
                      <w:p>
                        <w:pPr>
                          <w:spacing w:before="0" w:after="160" w:line="259" w:lineRule="auto"/>
                          <w:ind w:left="0" w:right="0" w:firstLine="0"/>
                          <w:jc w:val="left"/>
                        </w:pPr>
                        <w:hyperlink r:id="hyperlink191">
                          <w:r>
                            <w:rPr>
                              <w:w w:val="82"/>
                              <w:sz w:val="16"/>
                            </w:rPr>
                            <w:t xml:space="preserve">;</w:t>
                          </w:r>
                        </w:hyperlink>
                      </w:p>
                    </w:txbxContent>
                  </v:textbox>
                </v:rect>
                <v:rect id="Rectangle 206" style="position:absolute;width:18908;height:1822;left:36217;top:4252;" filled="f" stroked="f">
                  <v:textbox inset="0,0,0,0">
                    <w:txbxContent>
                      <w:p>
                        <w:pPr>
                          <w:spacing w:before="0" w:after="160" w:line="259" w:lineRule="auto"/>
                          <w:ind w:left="0" w:right="0" w:firstLine="0"/>
                          <w:jc w:val="left"/>
                        </w:pPr>
                        <w:r>
                          <w:rPr>
                            <w:spacing w:val="-4"/>
                            <w:w w:val="95"/>
                            <w:sz w:val="16"/>
                          </w:rPr>
                          <w:t xml:space="preserve"> </w:t>
                        </w:r>
                        <w:r>
                          <w:rPr>
                            <w:w w:val="95"/>
                            <w:sz w:val="16"/>
                          </w:rPr>
                          <w:t xml:space="preserve">ISSN</w:t>
                        </w:r>
                        <w:r>
                          <w:rPr>
                            <w:spacing w:val="-4"/>
                            <w:w w:val="95"/>
                            <w:sz w:val="16"/>
                          </w:rPr>
                          <w:t xml:space="preserve"> </w:t>
                        </w:r>
                        <w:r>
                          <w:rPr>
                            <w:w w:val="95"/>
                            <w:sz w:val="16"/>
                          </w:rPr>
                          <w:t xml:space="preserve">1872-9312;</w:t>
                        </w:r>
                        <w:r>
                          <w:rPr>
                            <w:spacing w:val="-4"/>
                            <w:w w:val="95"/>
                            <w:sz w:val="16"/>
                          </w:rPr>
                          <w:t xml:space="preserve"> </w:t>
                        </w:r>
                        <w:r>
                          <w:rPr>
                            <w:w w:val="95"/>
                            <w:sz w:val="16"/>
                          </w:rPr>
                          <w:t xml:space="preserve">eISSN</w:t>
                        </w:r>
                        <w:r>
                          <w:rPr>
                            <w:spacing w:val="-4"/>
                            <w:w w:val="95"/>
                            <w:sz w:val="16"/>
                          </w:rPr>
                          <w:t xml:space="preserve"> </w:t>
                        </w:r>
                        <w:r>
                          <w:rPr>
                            <w:w w:val="95"/>
                            <w:sz w:val="16"/>
                          </w:rPr>
                          <w:t xml:space="preserve">1876-4401</w:t>
                        </w:r>
                      </w:p>
                    </w:txbxContent>
                  </v:textbox>
                </v:rect>
                <v:rect id="Rectangle 21" style="position:absolute;width:306;height:1822;left:50434;top:4252;" filled="f" stroked="f">
                  <v:textbox inset="0,0,0,0">
                    <w:txbxContent>
                      <w:p>
                        <w:pPr>
                          <w:spacing w:before="0" w:after="160" w:line="259" w:lineRule="auto"/>
                          <w:ind w:left="0" w:right="0" w:firstLine="0"/>
                          <w:jc w:val="left"/>
                        </w:pPr>
                        <w:r>
                          <w:rPr>
                            <w:sz w:val="16"/>
                          </w:rPr>
                          <w:t xml:space="preserve"> </w:t>
                        </w:r>
                      </w:p>
                    </w:txbxContent>
                  </v:textbox>
                </v:rect>
                <v:rect id="Rectangle 207" style="position:absolute;width:24584;height:1822;left:23845;top:5522;" filled="f" stroked="f">
                  <v:textbox inset="0,0,0,0">
                    <w:txbxContent>
                      <w:p>
                        <w:pPr>
                          <w:spacing w:before="0" w:after="160" w:line="259" w:lineRule="auto"/>
                          <w:ind w:left="0" w:right="0" w:firstLine="0"/>
                          <w:jc w:val="left"/>
                        </w:pPr>
                        <w:r>
                          <w:rPr>
                            <w:w w:val="100"/>
                            <w:sz w:val="16"/>
                          </w:rPr>
                          <w:t xml:space="preserve">https://www.atlantis-press.com/journals/artre</w:t>
                        </w:r>
                      </w:p>
                    </w:txbxContent>
                  </v:textbox>
                </v:rect>
                <v:rect id="Rectangle 208" style="position:absolute;width:495;height:1822;left:42329;top:5522;" filled="f" stroked="f">
                  <v:textbox inset="0,0,0,0">
                    <w:txbxContent>
                      <w:p>
                        <w:pPr>
                          <w:spacing w:before="0" w:after="160" w:line="259" w:lineRule="auto"/>
                          <w:ind w:left="0" w:right="0" w:firstLine="0"/>
                          <w:jc w:val="left"/>
                        </w:pPr>
                        <w:hyperlink r:id="hyperlink192">
                          <w:r>
                            <w:rPr>
                              <w:w w:val="94"/>
                              <w:sz w:val="16"/>
                            </w:rPr>
                            <w:t xml:space="preserve">s</w:t>
                          </w:r>
                        </w:hyperlink>
                      </w:p>
                    </w:txbxContent>
                  </v:textbox>
                </v:rect>
                <v:shape id="Picture 24" style="position:absolute;width:9125;height:2397;left:14;top:3054;" filled="f">
                  <v:imagedata r:id="rId15"/>
                </v:shape>
                <v:shape id="Shape 13010" style="position:absolute;width:5151;height:6873;left:59040;top:874;" coordsize="515112,687324" path="m0,0l515112,0l515112,687324l0,687324l0,0">
                  <v:stroke weight="0pt" endcap="flat" joinstyle="miter" miterlimit="10" on="false" color="#000000" opacity="0"/>
                  <v:fill on="true" color="#181717" opacity="0.54902"/>
                </v:shape>
                <v:shape id="Picture 12643" style="position:absolute;width:5181;height:6918;left:58948;top:777;" filled="f">
                  <v:imagedata r:id="rId16"/>
                </v:shape>
                <v:shape id="Shape 28" style="position:absolute;width:5144;height:6860;left:58977;top:821;" coordsize="514401,686079" path="m0,686079l514401,686079l514401,0l0,0x">
                  <v:stroke weight="0.002pt" endcap="flat" joinstyle="miter" miterlimit="4" on="true" color="#181717"/>
                  <v:fill on="false" color="#000000" opacity="0"/>
                </v:shape>
              </v:group>
            </w:pict>
          </mc:Fallback>
        </mc:AlternateContent>
      </w:r>
    </w:p>
    <w:p w14:paraId="6189A6C6" w14:textId="77777777" w:rsidR="00F9571B" w:rsidRDefault="001177CA">
      <w:pPr>
        <w:spacing w:after="102" w:line="259" w:lineRule="auto"/>
        <w:ind w:left="0" w:right="0" w:firstLine="0"/>
        <w:jc w:val="left"/>
      </w:pPr>
      <w:r>
        <w:rPr>
          <w:rFonts w:ascii="Arial" w:eastAsia="Arial" w:hAnsi="Arial" w:cs="Arial"/>
          <w:sz w:val="24"/>
        </w:rPr>
        <w:t>Research Article</w:t>
      </w:r>
    </w:p>
    <w:p w14:paraId="78CFF1BD" w14:textId="77777777" w:rsidR="00F9571B" w:rsidRDefault="001177CA">
      <w:pPr>
        <w:spacing w:after="33" w:line="235" w:lineRule="auto"/>
        <w:ind w:left="-5" w:right="464"/>
        <w:jc w:val="left"/>
      </w:pPr>
      <w:r>
        <w:rPr>
          <w:rFonts w:ascii="Arial" w:eastAsia="Arial" w:hAnsi="Arial" w:cs="Arial"/>
          <w:b/>
          <w:sz w:val="32"/>
        </w:rPr>
        <w:t xml:space="preserve">Treatment of White Coat </w:t>
      </w:r>
      <w:proofErr w:type="spellStart"/>
      <w:r>
        <w:rPr>
          <w:rFonts w:ascii="Arial" w:eastAsia="Arial" w:hAnsi="Arial" w:cs="Arial"/>
          <w:b/>
          <w:sz w:val="32"/>
        </w:rPr>
        <w:t>HYpertension</w:t>
      </w:r>
      <w:proofErr w:type="spellEnd"/>
      <w:r>
        <w:rPr>
          <w:rFonts w:ascii="Arial" w:eastAsia="Arial" w:hAnsi="Arial" w:cs="Arial"/>
          <w:b/>
          <w:sz w:val="32"/>
        </w:rPr>
        <w:t xml:space="preserve"> in the Very  </w:t>
      </w:r>
    </w:p>
    <w:p w14:paraId="5C79CA82" w14:textId="77777777" w:rsidR="00F9571B" w:rsidRDefault="001177CA">
      <w:pPr>
        <w:spacing w:after="261" w:line="235" w:lineRule="auto"/>
        <w:ind w:left="-5" w:right="464"/>
        <w:jc w:val="left"/>
      </w:pPr>
      <w:r>
        <w:rPr>
          <w:rFonts w:ascii="Arial" w:eastAsia="Arial" w:hAnsi="Arial" w:cs="Arial"/>
          <w:b/>
          <w:sz w:val="32"/>
        </w:rPr>
        <w:t xml:space="preserve">Elderly Trial (HYVET 2) - Feasibility of a </w:t>
      </w:r>
      <w:proofErr w:type="gramStart"/>
      <w:r>
        <w:rPr>
          <w:rFonts w:ascii="Arial" w:eastAsia="Arial" w:hAnsi="Arial" w:cs="Arial"/>
          <w:b/>
          <w:sz w:val="32"/>
        </w:rPr>
        <w:t>Randomized  Controlled</w:t>
      </w:r>
      <w:proofErr w:type="gramEnd"/>
      <w:r>
        <w:rPr>
          <w:rFonts w:ascii="Arial" w:eastAsia="Arial" w:hAnsi="Arial" w:cs="Arial"/>
          <w:b/>
          <w:sz w:val="32"/>
        </w:rPr>
        <w:t xml:space="preserve"> Trial (Study Protocol)</w:t>
      </w:r>
    </w:p>
    <w:p w14:paraId="475AB7F7" w14:textId="77777777" w:rsidR="00F9571B" w:rsidRDefault="001177CA">
      <w:pPr>
        <w:spacing w:after="0" w:line="259" w:lineRule="auto"/>
        <w:ind w:left="-5" w:right="0"/>
        <w:jc w:val="left"/>
      </w:pPr>
      <w:bookmarkStart w:id="0" w:name="_GoBack"/>
      <w:r>
        <w:rPr>
          <w:sz w:val="20"/>
        </w:rPr>
        <w:t>Michael Okorie</w:t>
      </w:r>
      <w:r>
        <w:rPr>
          <w:sz w:val="18"/>
          <w:vertAlign w:val="superscript"/>
        </w:rPr>
        <w:t>1</w:t>
      </w:r>
      <w:proofErr w:type="gramStart"/>
      <w:r>
        <w:rPr>
          <w:sz w:val="18"/>
          <w:vertAlign w:val="superscript"/>
        </w:rPr>
        <w:t>,2</w:t>
      </w:r>
      <w:proofErr w:type="gramEnd"/>
      <w:r>
        <w:rPr>
          <w:sz w:val="18"/>
          <w:vertAlign w:val="superscript"/>
        </w:rPr>
        <w:t>,</w:t>
      </w:r>
      <w:r>
        <w:rPr>
          <w:sz w:val="18"/>
          <w:vertAlign w:val="superscript"/>
        </w:rPr>
        <w:footnoteReference w:id="1"/>
      </w:r>
      <w:r>
        <w:rPr>
          <w:sz w:val="20"/>
        </w:rPr>
        <w:t>, Khalid Ali</w:t>
      </w:r>
      <w:r>
        <w:rPr>
          <w:sz w:val="18"/>
          <w:vertAlign w:val="superscript"/>
        </w:rPr>
        <w:t>1,2</w:t>
      </w:r>
      <w:r>
        <w:rPr>
          <w:sz w:val="20"/>
        </w:rPr>
        <w:t>, Stephen Bremner</w:t>
      </w:r>
      <w:r>
        <w:rPr>
          <w:sz w:val="18"/>
          <w:vertAlign w:val="superscript"/>
        </w:rPr>
        <w:t>3</w:t>
      </w:r>
      <w:r>
        <w:rPr>
          <w:sz w:val="20"/>
        </w:rPr>
        <w:t>, Nigel Beckett</w:t>
      </w:r>
      <w:r>
        <w:rPr>
          <w:sz w:val="18"/>
          <w:vertAlign w:val="superscript"/>
        </w:rPr>
        <w:t>4</w:t>
      </w:r>
      <w:r>
        <w:rPr>
          <w:sz w:val="20"/>
        </w:rPr>
        <w:t>, Stephen Jackson</w:t>
      </w:r>
      <w:r>
        <w:rPr>
          <w:sz w:val="18"/>
          <w:vertAlign w:val="superscript"/>
        </w:rPr>
        <w:t>5</w:t>
      </w:r>
      <w:r>
        <w:rPr>
          <w:sz w:val="20"/>
        </w:rPr>
        <w:t>, Richard Quirk</w:t>
      </w:r>
      <w:r>
        <w:rPr>
          <w:sz w:val="18"/>
          <w:vertAlign w:val="superscript"/>
        </w:rPr>
        <w:t>6</w:t>
      </w:r>
      <w:r>
        <w:rPr>
          <w:sz w:val="20"/>
        </w:rPr>
        <w:t xml:space="preserve">,  </w:t>
      </w:r>
    </w:p>
    <w:p w14:paraId="7E50574B" w14:textId="77777777" w:rsidR="00F9571B" w:rsidRDefault="001177CA">
      <w:pPr>
        <w:spacing w:after="127" w:line="259" w:lineRule="auto"/>
        <w:ind w:left="-5" w:right="0"/>
        <w:jc w:val="left"/>
      </w:pPr>
      <w:r>
        <w:rPr>
          <w:sz w:val="20"/>
        </w:rPr>
        <w:t>Colin McAl</w:t>
      </w:r>
      <w:r>
        <w:rPr>
          <w:sz w:val="20"/>
        </w:rPr>
        <w:t>ister</w:t>
      </w:r>
      <w:r>
        <w:rPr>
          <w:sz w:val="18"/>
          <w:vertAlign w:val="superscript"/>
        </w:rPr>
        <w:t>7</w:t>
      </w:r>
      <w:r>
        <w:rPr>
          <w:sz w:val="20"/>
        </w:rPr>
        <w:t>, Nicky Perry</w:t>
      </w:r>
      <w:r>
        <w:rPr>
          <w:sz w:val="18"/>
          <w:vertAlign w:val="superscript"/>
        </w:rPr>
        <w:t>2</w:t>
      </w:r>
      <w:r>
        <w:rPr>
          <w:sz w:val="20"/>
        </w:rPr>
        <w:t>, John Potter</w:t>
      </w:r>
      <w:r>
        <w:rPr>
          <w:sz w:val="18"/>
          <w:vertAlign w:val="superscript"/>
        </w:rPr>
        <w:t>8</w:t>
      </w:r>
      <w:r>
        <w:rPr>
          <w:sz w:val="20"/>
        </w:rPr>
        <w:t>, Christopher Bulpitt</w:t>
      </w:r>
      <w:r>
        <w:rPr>
          <w:sz w:val="18"/>
          <w:vertAlign w:val="superscript"/>
        </w:rPr>
        <w:t>9</w:t>
      </w:r>
      <w:r>
        <w:rPr>
          <w:sz w:val="20"/>
        </w:rPr>
        <w:t xml:space="preserve">, </w:t>
      </w:r>
      <w:proofErr w:type="spellStart"/>
      <w:r>
        <w:rPr>
          <w:sz w:val="20"/>
        </w:rPr>
        <w:t>Chakravarthi</w:t>
      </w:r>
      <w:proofErr w:type="spellEnd"/>
      <w:r>
        <w:rPr>
          <w:sz w:val="20"/>
        </w:rPr>
        <w:t xml:space="preserve"> Rajkumar</w:t>
      </w:r>
      <w:r>
        <w:rPr>
          <w:sz w:val="18"/>
          <w:vertAlign w:val="superscript"/>
        </w:rPr>
        <w:t>1</w:t>
      </w:r>
      <w:proofErr w:type="gramStart"/>
      <w:r>
        <w:rPr>
          <w:sz w:val="18"/>
          <w:vertAlign w:val="superscript"/>
        </w:rPr>
        <w:t>,2</w:t>
      </w:r>
      <w:proofErr w:type="gramEnd"/>
    </w:p>
    <w:bookmarkEnd w:id="0"/>
    <w:p w14:paraId="6B31CCE8" w14:textId="77777777" w:rsidR="00F9571B" w:rsidRDefault="001177CA">
      <w:pPr>
        <w:spacing w:after="1" w:line="260" w:lineRule="auto"/>
        <w:ind w:left="-5" w:right="0"/>
        <w:jc w:val="left"/>
      </w:pPr>
      <w:r>
        <w:rPr>
          <w:i/>
          <w:sz w:val="14"/>
          <w:vertAlign w:val="superscript"/>
        </w:rPr>
        <w:t>1</w:t>
      </w:r>
      <w:r>
        <w:rPr>
          <w:i/>
          <w:sz w:val="16"/>
        </w:rPr>
        <w:t>Department of Medicine, Brighton and Sussex Medical School, Brighton, UK</w:t>
      </w:r>
    </w:p>
    <w:p w14:paraId="708ED970" w14:textId="77777777" w:rsidR="00F9571B" w:rsidRDefault="001177CA">
      <w:pPr>
        <w:spacing w:after="1" w:line="260" w:lineRule="auto"/>
        <w:ind w:left="-5" w:right="0"/>
        <w:jc w:val="left"/>
      </w:pPr>
      <w:r>
        <w:rPr>
          <w:i/>
          <w:sz w:val="14"/>
          <w:vertAlign w:val="superscript"/>
        </w:rPr>
        <w:t>2</w:t>
      </w:r>
      <w:r>
        <w:rPr>
          <w:i/>
          <w:sz w:val="16"/>
        </w:rPr>
        <w:t>Brighton and Sussex University Hospitals NHS Trust, Brighton, UK</w:t>
      </w:r>
    </w:p>
    <w:p w14:paraId="333892F4" w14:textId="77777777" w:rsidR="00F9571B" w:rsidRDefault="001177CA">
      <w:pPr>
        <w:spacing w:after="1" w:line="260" w:lineRule="auto"/>
        <w:ind w:left="-5" w:right="0"/>
        <w:jc w:val="left"/>
      </w:pPr>
      <w:r>
        <w:rPr>
          <w:i/>
          <w:sz w:val="14"/>
          <w:vertAlign w:val="superscript"/>
        </w:rPr>
        <w:t>3</w:t>
      </w:r>
      <w:r>
        <w:rPr>
          <w:i/>
          <w:sz w:val="16"/>
        </w:rPr>
        <w:t>Department of Primary Care and Public Health, Brighton and Sussex Medical School, Brighton, UK</w:t>
      </w:r>
    </w:p>
    <w:p w14:paraId="1C6A5875" w14:textId="77777777" w:rsidR="00F9571B" w:rsidRDefault="001177CA">
      <w:pPr>
        <w:spacing w:after="1" w:line="260" w:lineRule="auto"/>
        <w:ind w:left="-5" w:right="0"/>
        <w:jc w:val="left"/>
      </w:pPr>
      <w:r>
        <w:rPr>
          <w:i/>
          <w:sz w:val="14"/>
          <w:vertAlign w:val="superscript"/>
        </w:rPr>
        <w:t>4</w:t>
      </w:r>
      <w:r>
        <w:rPr>
          <w:i/>
          <w:sz w:val="16"/>
        </w:rPr>
        <w:t>Department of Ageing and Health, Guy’s and St Thomas’ NHS Foundation Trust, London, UK</w:t>
      </w:r>
    </w:p>
    <w:p w14:paraId="36D054B9" w14:textId="77777777" w:rsidR="00F9571B" w:rsidRDefault="001177CA">
      <w:pPr>
        <w:spacing w:after="1" w:line="260" w:lineRule="auto"/>
        <w:ind w:left="-5" w:right="0"/>
        <w:jc w:val="left"/>
      </w:pPr>
      <w:r>
        <w:rPr>
          <w:i/>
          <w:sz w:val="14"/>
          <w:vertAlign w:val="superscript"/>
        </w:rPr>
        <w:t>5</w:t>
      </w:r>
      <w:r>
        <w:rPr>
          <w:i/>
          <w:sz w:val="16"/>
        </w:rPr>
        <w:t>Department of Clinical Gerontology</w:t>
      </w:r>
      <w:proofErr w:type="gramStart"/>
      <w:r>
        <w:rPr>
          <w:i/>
          <w:sz w:val="16"/>
        </w:rPr>
        <w:t>,  King’s</w:t>
      </w:r>
      <w:proofErr w:type="gramEnd"/>
      <w:r>
        <w:rPr>
          <w:i/>
          <w:sz w:val="16"/>
        </w:rPr>
        <w:t xml:space="preserve"> College Hospital, London, UK</w:t>
      </w:r>
    </w:p>
    <w:p w14:paraId="714F1D56" w14:textId="77777777" w:rsidR="00F9571B" w:rsidRDefault="001177CA">
      <w:pPr>
        <w:spacing w:after="1" w:line="260" w:lineRule="auto"/>
        <w:ind w:left="-5" w:right="0"/>
        <w:jc w:val="left"/>
      </w:pPr>
      <w:r>
        <w:rPr>
          <w:i/>
          <w:sz w:val="14"/>
          <w:vertAlign w:val="superscript"/>
        </w:rPr>
        <w:t>6</w:t>
      </w:r>
      <w:r>
        <w:rPr>
          <w:i/>
          <w:sz w:val="16"/>
        </w:rPr>
        <w:t>Sussex Community NHS Foundation Trust, Brighton, UK</w:t>
      </w:r>
    </w:p>
    <w:p w14:paraId="03256E2C" w14:textId="77777777" w:rsidR="00F9571B" w:rsidRDefault="001177CA">
      <w:pPr>
        <w:spacing w:after="1" w:line="260" w:lineRule="auto"/>
        <w:ind w:left="-5" w:right="0"/>
        <w:jc w:val="left"/>
      </w:pPr>
      <w:r>
        <w:rPr>
          <w:i/>
          <w:sz w:val="14"/>
          <w:vertAlign w:val="superscript"/>
        </w:rPr>
        <w:t>7</w:t>
      </w:r>
      <w:r>
        <w:rPr>
          <w:i/>
          <w:sz w:val="16"/>
        </w:rPr>
        <w:t>University of Sussex, Brighton, UK</w:t>
      </w:r>
    </w:p>
    <w:p w14:paraId="4E004043" w14:textId="77777777" w:rsidR="00F9571B" w:rsidRDefault="001177CA">
      <w:pPr>
        <w:spacing w:after="2488" w:line="260" w:lineRule="auto"/>
        <w:ind w:left="-5" w:right="5885"/>
        <w:jc w:val="left"/>
      </w:pPr>
      <w:r>
        <w:rPr>
          <w:i/>
          <w:sz w:val="14"/>
          <w:vertAlign w:val="superscript"/>
        </w:rPr>
        <w:t>8</w:t>
      </w:r>
      <w:r>
        <w:rPr>
          <w:i/>
          <w:sz w:val="16"/>
        </w:rPr>
        <w:t xml:space="preserve">Norwich Medical School, University of East Anglia, Norwich, UK </w:t>
      </w:r>
      <w:r>
        <w:rPr>
          <w:i/>
          <w:sz w:val="14"/>
          <w:vertAlign w:val="superscript"/>
        </w:rPr>
        <w:t>9</w:t>
      </w:r>
      <w:r>
        <w:rPr>
          <w:i/>
          <w:sz w:val="16"/>
        </w:rPr>
        <w:t>Faculty of Medicine, Imperial College London, UK</w:t>
      </w:r>
    </w:p>
    <w:tbl>
      <w:tblPr>
        <w:tblStyle w:val="TableGrid"/>
        <w:tblpPr w:vertAnchor="text" w:tblpY="-2137"/>
        <w:tblOverlap w:val="never"/>
        <w:tblW w:w="10503" w:type="dxa"/>
        <w:tblInd w:w="0" w:type="dxa"/>
        <w:tblCellMar>
          <w:top w:w="0" w:type="dxa"/>
          <w:left w:w="0" w:type="dxa"/>
          <w:bottom w:w="0" w:type="dxa"/>
          <w:right w:w="0" w:type="dxa"/>
        </w:tblCellMar>
        <w:tblLook w:val="04A0" w:firstRow="1" w:lastRow="0" w:firstColumn="1" w:lastColumn="0" w:noHBand="0" w:noVBand="1"/>
      </w:tblPr>
      <w:tblGrid>
        <w:gridCol w:w="2357"/>
        <w:gridCol w:w="8146"/>
      </w:tblGrid>
      <w:tr w:rsidR="00F9571B" w14:paraId="5FBDF314" w14:textId="77777777">
        <w:trPr>
          <w:trHeight w:val="2815"/>
        </w:trPr>
        <w:tc>
          <w:tcPr>
            <w:tcW w:w="2357" w:type="dxa"/>
            <w:tcBorders>
              <w:top w:val="nil"/>
              <w:left w:val="nil"/>
              <w:bottom w:val="nil"/>
              <w:right w:val="nil"/>
            </w:tcBorders>
          </w:tcPr>
          <w:p w14:paraId="7AAE1F9B" w14:textId="77777777" w:rsidR="00F9571B" w:rsidRDefault="001177CA">
            <w:pPr>
              <w:spacing w:after="52"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586554CF" wp14:editId="42737685">
                      <wp:simplePos x="0" y="0"/>
                      <wp:positionH relativeFrom="column">
                        <wp:posOffset>1372197</wp:posOffset>
                      </wp:positionH>
                      <wp:positionV relativeFrom="paragraph">
                        <wp:posOffset>33279</wp:posOffset>
                      </wp:positionV>
                      <wp:extent cx="635" cy="1754378"/>
                      <wp:effectExtent l="0" t="0" r="0" b="0"/>
                      <wp:wrapSquare wrapText="bothSides"/>
                      <wp:docPr id="11387" name="Group 11387"/>
                      <wp:cNvGraphicFramePr/>
                      <a:graphic xmlns:a="http://schemas.openxmlformats.org/drawingml/2006/main">
                        <a:graphicData uri="http://schemas.microsoft.com/office/word/2010/wordprocessingGroup">
                          <wpg:wgp>
                            <wpg:cNvGrpSpPr/>
                            <wpg:grpSpPr>
                              <a:xfrm>
                                <a:off x="0" y="0"/>
                                <a:ext cx="635" cy="1754378"/>
                                <a:chOff x="0" y="0"/>
                                <a:chExt cx="635" cy="1754378"/>
                              </a:xfrm>
                            </wpg:grpSpPr>
                            <wps:wsp>
                              <wps:cNvPr id="181" name="Shape 181"/>
                              <wps:cNvSpPr/>
                              <wps:spPr>
                                <a:xfrm>
                                  <a:off x="0" y="0"/>
                                  <a:ext cx="0" cy="1754378"/>
                                </a:xfrm>
                                <a:custGeom>
                                  <a:avLst/>
                                  <a:gdLst/>
                                  <a:ahLst/>
                                  <a:cxnLst/>
                                  <a:rect l="0" t="0" r="0" b="0"/>
                                  <a:pathLst>
                                    <a:path h="1754378">
                                      <a:moveTo>
                                        <a:pt x="0" y="0"/>
                                      </a:moveTo>
                                      <a:lnTo>
                                        <a:pt x="0" y="1754378"/>
                                      </a:lnTo>
                                    </a:path>
                                  </a:pathLst>
                                </a:custGeom>
                                <a:ln w="635"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387" style="width:0.05pt;height:138.14pt;position:absolute;mso-position-horizontal-relative:text;mso-position-horizontal:absolute;margin-left:108.047pt;mso-position-vertical-relative:text;margin-top:2.62042pt;" coordsize="6,17543">
                      <v:shape id="Shape 181" style="position:absolute;width:0;height:17543;left:0;top:0;" coordsize="0,1754378" path="m0,0l0,1754378">
                        <v:stroke weight="0.05pt" endcap="flat" joinstyle="miter" miterlimit="4" on="true" color="#181717"/>
                        <v:fill on="false" color="#000000" opacity="0"/>
                      </v:shape>
                      <w10:wrap type="square"/>
                    </v:group>
                  </w:pict>
                </mc:Fallback>
              </mc:AlternateContent>
            </w:r>
            <w:r>
              <w:rPr>
                <w:rFonts w:ascii="Arial" w:eastAsia="Arial" w:hAnsi="Arial" w:cs="Arial"/>
                <w:b/>
                <w:sz w:val="20"/>
              </w:rPr>
              <w:t>ARTICLE INFO</w:t>
            </w:r>
          </w:p>
          <w:p w14:paraId="04FF8947" w14:textId="77777777" w:rsidR="00F9571B" w:rsidRDefault="001177CA">
            <w:pPr>
              <w:spacing w:after="66" w:line="259" w:lineRule="auto"/>
              <w:ind w:left="0" w:right="0" w:firstLine="0"/>
              <w:jc w:val="left"/>
            </w:pPr>
            <w:r>
              <w:rPr>
                <w:rFonts w:ascii="Arial" w:eastAsia="Arial" w:hAnsi="Arial" w:cs="Arial"/>
                <w:i/>
                <w:sz w:val="14"/>
              </w:rPr>
              <w:t>Article History</w:t>
            </w:r>
          </w:p>
          <w:p w14:paraId="5A4227F5" w14:textId="77777777" w:rsidR="00F9571B" w:rsidRDefault="001177CA">
            <w:pPr>
              <w:spacing w:after="5" w:line="259" w:lineRule="auto"/>
              <w:ind w:left="0" w:right="0" w:firstLine="0"/>
              <w:jc w:val="left"/>
            </w:pPr>
            <w:r>
              <w:rPr>
                <w:sz w:val="14"/>
              </w:rPr>
              <w:t>Received 28 October 20</w:t>
            </w:r>
            <w:r>
              <w:rPr>
                <w:sz w:val="14"/>
              </w:rPr>
              <w:t>19</w:t>
            </w:r>
          </w:p>
          <w:p w14:paraId="3703C090" w14:textId="77777777" w:rsidR="00F9571B" w:rsidRDefault="001177CA">
            <w:pPr>
              <w:spacing w:after="185" w:line="259" w:lineRule="auto"/>
              <w:ind w:left="0" w:right="0" w:firstLine="0"/>
              <w:jc w:val="left"/>
            </w:pPr>
            <w:r>
              <w:rPr>
                <w:sz w:val="14"/>
              </w:rPr>
              <w:t>Accepted 01 November 2019</w:t>
            </w:r>
          </w:p>
          <w:p w14:paraId="25FF36FF" w14:textId="77777777" w:rsidR="00F9571B" w:rsidRDefault="001177CA">
            <w:pPr>
              <w:spacing w:after="66" w:line="259" w:lineRule="auto"/>
              <w:ind w:left="0" w:right="0" w:firstLine="0"/>
              <w:jc w:val="left"/>
            </w:pPr>
            <w:r>
              <w:rPr>
                <w:rFonts w:ascii="Arial" w:eastAsia="Arial" w:hAnsi="Arial" w:cs="Arial"/>
                <w:i/>
                <w:sz w:val="14"/>
              </w:rPr>
              <w:t>Keywords</w:t>
            </w:r>
          </w:p>
          <w:p w14:paraId="4AED9094" w14:textId="77777777" w:rsidR="00F9571B" w:rsidRDefault="001177CA">
            <w:pPr>
              <w:spacing w:after="0" w:line="259" w:lineRule="auto"/>
              <w:ind w:left="0" w:right="979" w:firstLine="0"/>
              <w:jc w:val="left"/>
            </w:pPr>
            <w:r>
              <w:rPr>
                <w:sz w:val="14"/>
              </w:rPr>
              <w:t>White coat hypertension treatment feasibility study very elderly</w:t>
            </w:r>
          </w:p>
        </w:tc>
        <w:tc>
          <w:tcPr>
            <w:tcW w:w="8146" w:type="dxa"/>
            <w:tcBorders>
              <w:top w:val="nil"/>
              <w:left w:val="nil"/>
              <w:bottom w:val="nil"/>
              <w:right w:val="nil"/>
            </w:tcBorders>
          </w:tcPr>
          <w:p w14:paraId="16D06399" w14:textId="77777777" w:rsidR="00F9571B" w:rsidRDefault="001177CA">
            <w:pPr>
              <w:spacing w:after="52" w:line="259" w:lineRule="auto"/>
              <w:ind w:left="0" w:right="0" w:firstLine="0"/>
              <w:jc w:val="left"/>
            </w:pPr>
            <w:r>
              <w:rPr>
                <w:rFonts w:ascii="Arial" w:eastAsia="Arial" w:hAnsi="Arial" w:cs="Arial"/>
                <w:b/>
                <w:sz w:val="20"/>
              </w:rPr>
              <w:t>ABSTRACT</w:t>
            </w:r>
          </w:p>
          <w:p w14:paraId="5389924A" w14:textId="77777777" w:rsidR="00F9571B" w:rsidRDefault="001177CA">
            <w:pPr>
              <w:spacing w:after="0" w:line="259" w:lineRule="auto"/>
              <w:ind w:left="0" w:right="36" w:firstLine="0"/>
            </w:pPr>
            <w:r>
              <w:rPr>
                <w:sz w:val="16"/>
              </w:rPr>
              <w:t xml:space="preserve">The results of </w:t>
            </w:r>
            <w:proofErr w:type="spellStart"/>
            <w:r>
              <w:rPr>
                <w:sz w:val="16"/>
              </w:rPr>
              <w:t>HYpertension</w:t>
            </w:r>
            <w:proofErr w:type="spellEnd"/>
            <w:r>
              <w:rPr>
                <w:sz w:val="16"/>
              </w:rPr>
              <w:t xml:space="preserve"> in the Very Elderly Trial (HYVET) were crucial in providing evidence of benefit of the treatment of hypertension in those 80 years or older. Following a subsequent sub study analysis of the HYVET data there is a suggestion that </w:t>
            </w:r>
            <w:r>
              <w:rPr>
                <w:sz w:val="16"/>
              </w:rPr>
              <w:t>50% of patients in the main study had White Coat Hypertension (WCH), defined as clinic BP readings &gt;140/90 mmHg and ambulatory BP readings &lt;135/85 mmHg. Currently, definitive evidence in support of treatment for such individuals is not available. HYVET 2 h</w:t>
            </w:r>
            <w:r>
              <w:rPr>
                <w:sz w:val="16"/>
              </w:rPr>
              <w:t>as been designed in order to assess the feasibility of conducting a randomized controlled trial which might determine whether the treatment of WCH in the very elderly is clinically beneficial. One hundred participants aged ≥75 years diagnosed with WCH will</w:t>
            </w:r>
            <w:r>
              <w:rPr>
                <w:sz w:val="16"/>
              </w:rPr>
              <w:t xml:space="preserve"> be recruited from General Practices (GPs) in UK. Randomization will be 1:1 to a treatment arm (</w:t>
            </w:r>
            <w:proofErr w:type="spellStart"/>
            <w:r>
              <w:rPr>
                <w:sz w:val="16"/>
              </w:rPr>
              <w:t>indapamide</w:t>
            </w:r>
            <w:proofErr w:type="spellEnd"/>
            <w:r>
              <w:rPr>
                <w:sz w:val="16"/>
              </w:rPr>
              <w:t xml:space="preserve"> and perindopril) and control arm (no treatment) and follow up will be for 52 weeks. HYVET 2 will report on feasibility outcomes including participant</w:t>
            </w:r>
            <w:r>
              <w:rPr>
                <w:sz w:val="16"/>
              </w:rPr>
              <w:t xml:space="preserve"> recruitment, adherence and withdrawal rates, willingness of GPs to recruit and </w:t>
            </w:r>
          </w:p>
        </w:tc>
      </w:tr>
    </w:tbl>
    <w:p w14:paraId="15232A13" w14:textId="77777777" w:rsidR="00F9571B" w:rsidRDefault="001177CA">
      <w:pPr>
        <w:spacing w:after="121" w:line="259" w:lineRule="auto"/>
        <w:ind w:right="186"/>
        <w:jc w:val="right"/>
      </w:pPr>
      <w:proofErr w:type="gramStart"/>
      <w:r>
        <w:rPr>
          <w:sz w:val="16"/>
        </w:rPr>
        <w:t>randomize</w:t>
      </w:r>
      <w:proofErr w:type="gramEnd"/>
      <w:r>
        <w:rPr>
          <w:sz w:val="16"/>
        </w:rPr>
        <w:t xml:space="preserve"> patients and the frequency of a composite of cardiovascular events. Simple descriptive statistics will be presented.</w:t>
      </w:r>
    </w:p>
    <w:p w14:paraId="0111CC49" w14:textId="77777777" w:rsidR="00F9571B" w:rsidRDefault="001177CA">
      <w:pPr>
        <w:spacing w:after="3" w:line="259" w:lineRule="auto"/>
        <w:ind w:right="-15"/>
        <w:jc w:val="right"/>
      </w:pPr>
      <w:r>
        <w:rPr>
          <w:sz w:val="16"/>
        </w:rPr>
        <w:t xml:space="preserve">© 2019 </w:t>
      </w:r>
      <w:r>
        <w:rPr>
          <w:i/>
          <w:sz w:val="16"/>
        </w:rPr>
        <w:t>Association for Research into Arterial S</w:t>
      </w:r>
      <w:r>
        <w:rPr>
          <w:i/>
          <w:sz w:val="16"/>
        </w:rPr>
        <w:t>tructure and Physiology</w:t>
      </w:r>
      <w:r>
        <w:rPr>
          <w:sz w:val="16"/>
        </w:rPr>
        <w:t xml:space="preserve">. Publishing services by Atlantis Press International B.V. </w:t>
      </w:r>
    </w:p>
    <w:p w14:paraId="22D6B489" w14:textId="77777777" w:rsidR="00F9571B" w:rsidRDefault="001177CA">
      <w:pPr>
        <w:spacing w:after="3" w:line="259" w:lineRule="auto"/>
        <w:ind w:right="-15"/>
        <w:jc w:val="right"/>
      </w:pPr>
      <w:r>
        <w:rPr>
          <w:sz w:val="16"/>
        </w:rPr>
        <w:t>This is an open access article distributed under the CC BY-NC 4.0 license (</w:t>
      </w:r>
      <w:hyperlink r:id="rId17">
        <w:r>
          <w:rPr>
            <w:color w:val="0087BE"/>
            <w:sz w:val="16"/>
          </w:rPr>
          <w:t>http://creativecommons.org/licen</w:t>
        </w:r>
        <w:r>
          <w:rPr>
            <w:color w:val="0087BE"/>
            <w:sz w:val="16"/>
          </w:rPr>
          <w:t>ses/by-nc/4.0/</w:t>
        </w:r>
      </w:hyperlink>
      <w:hyperlink r:id="rId18">
        <w:r>
          <w:rPr>
            <w:sz w:val="16"/>
          </w:rPr>
          <w:t>)</w:t>
        </w:r>
      </w:hyperlink>
      <w:r>
        <w:rPr>
          <w:sz w:val="16"/>
        </w:rPr>
        <w:t>.</w:t>
      </w:r>
    </w:p>
    <w:p w14:paraId="21D89F19" w14:textId="77777777" w:rsidR="00F9571B" w:rsidRDefault="00F9571B">
      <w:pPr>
        <w:sectPr w:rsidR="00F9571B">
          <w:headerReference w:type="even" r:id="rId19"/>
          <w:headerReference w:type="default" r:id="rId20"/>
          <w:headerReference w:type="first" r:id="rId21"/>
          <w:pgSz w:w="11906" w:h="15874"/>
          <w:pgMar w:top="690" w:right="720" w:bottom="762" w:left="720" w:header="720" w:footer="720" w:gutter="0"/>
          <w:pgNumType w:start="19"/>
          <w:cols w:space="720"/>
          <w:titlePg/>
        </w:sectPr>
      </w:pPr>
    </w:p>
    <w:p w14:paraId="0E5C5152" w14:textId="77777777" w:rsidR="00F9571B" w:rsidRDefault="001177CA">
      <w:pPr>
        <w:pStyle w:val="Heading1"/>
        <w:ind w:left="-5"/>
      </w:pPr>
      <w:r>
        <w:t>1. INTRODUCTION</w:t>
      </w:r>
    </w:p>
    <w:p w14:paraId="06A880B6" w14:textId="77777777" w:rsidR="00F9571B" w:rsidRDefault="001177CA">
      <w:pPr>
        <w:ind w:left="-5" w:right="0"/>
      </w:pPr>
      <w:r>
        <w:t>Cardiovascular disease (mainly stroke and coronary artery disease) remains an important global cause of morbidity and mortality and hypert</w:t>
      </w:r>
      <w:r>
        <w:t>ension is a major contributing risk factor, particularly in older people [</w:t>
      </w:r>
      <w:r>
        <w:rPr>
          <w:color w:val="0087BE"/>
        </w:rPr>
        <w:t>1</w:t>
      </w:r>
      <w:proofErr w:type="gramStart"/>
      <w:r>
        <w:rPr>
          <w:color w:val="0087BE"/>
        </w:rPr>
        <w:t>,2</w:t>
      </w:r>
      <w:proofErr w:type="gramEnd"/>
      <w:r>
        <w:t xml:space="preserve">]. The overall prevalence of hypertension in all adults in England, UK is 28.4% and this compares with a prevalence of 66.5% in patients over 75 years of age with trends covering </w:t>
      </w:r>
      <w:r>
        <w:t>2003–2015 showing little change [</w:t>
      </w:r>
      <w:r>
        <w:rPr>
          <w:color w:val="0087BE"/>
        </w:rPr>
        <w:t>2</w:t>
      </w:r>
      <w:r>
        <w:t>]. With an ageing population and the greatest expansion in population expected in the over 65 age group, hypertension will become a more prominent treatable and preventable cause of premature death [</w:t>
      </w:r>
      <w:r>
        <w:rPr>
          <w:color w:val="0087BE"/>
        </w:rPr>
        <w:t>3</w:t>
      </w:r>
      <w:r>
        <w:t>].</w:t>
      </w:r>
    </w:p>
    <w:p w14:paraId="095E6DA5" w14:textId="77777777" w:rsidR="00F9571B" w:rsidRDefault="001177CA">
      <w:pPr>
        <w:ind w:left="-5" w:right="0"/>
      </w:pPr>
      <w:r>
        <w:t>There has been cont</w:t>
      </w:r>
      <w:r>
        <w:t xml:space="preserve">roversy regarding the appropriateness of treatment of hypertension in older people based on data from </w:t>
      </w:r>
      <w:r>
        <w:t>epidemiological studies, which suggest that there is a higher risk of death in patients over 80 years of age with lower Blood Pressure (BP) [</w:t>
      </w:r>
      <w:r>
        <w:rPr>
          <w:color w:val="0087BE"/>
        </w:rPr>
        <w:t>4–6</w:t>
      </w:r>
      <w:r>
        <w:t>]. This no</w:t>
      </w:r>
      <w:r>
        <w:t xml:space="preserve">tion has been challenged by data from the </w:t>
      </w:r>
      <w:proofErr w:type="spellStart"/>
      <w:r>
        <w:t>Syst-Eur</w:t>
      </w:r>
      <w:proofErr w:type="spellEnd"/>
      <w:r>
        <w:t xml:space="preserve"> and the </w:t>
      </w:r>
      <w:proofErr w:type="spellStart"/>
      <w:r>
        <w:t>HYpertension</w:t>
      </w:r>
      <w:proofErr w:type="spellEnd"/>
      <w:r>
        <w:t xml:space="preserve"> in the Very Elderly Trial (HYVET) studies which showed that antihypertensive treatment in persons 60 and 80 years or older respectively, is beneficial [</w:t>
      </w:r>
      <w:r>
        <w:rPr>
          <w:color w:val="0087BE"/>
        </w:rPr>
        <w:t>7,8</w:t>
      </w:r>
      <w:r>
        <w:t xml:space="preserve">]. More recently, the SPRINT </w:t>
      </w:r>
      <w:r>
        <w:t>trial has demonstrated that lowering the BP to a target systolic BP of &lt;120 mmHg is beneficial in patients aged over 75 years [</w:t>
      </w:r>
      <w:r>
        <w:rPr>
          <w:color w:val="0087BE"/>
        </w:rPr>
        <w:t>9</w:t>
      </w:r>
      <w:r>
        <w:t>]. As a result, guidelines recommend BP control to reduce cardiovascular risk, irrespective of the age of the patient [</w:t>
      </w:r>
      <w:r>
        <w:rPr>
          <w:color w:val="0087BE"/>
        </w:rPr>
        <w:t>10–12</w:t>
      </w:r>
      <w:r>
        <w:t>].</w:t>
      </w:r>
    </w:p>
    <w:p w14:paraId="06A11286" w14:textId="77777777" w:rsidR="00F9571B" w:rsidRDefault="001177CA">
      <w:pPr>
        <w:spacing w:after="402"/>
        <w:ind w:left="-5" w:right="0"/>
      </w:pPr>
      <w:r>
        <w:t>C</w:t>
      </w:r>
      <w:r>
        <w:t xml:space="preserve">urrent NICE guidelines for the diagnosis and treatment of hypertension recommend the widespread use of Ambulatory Blood </w:t>
      </w:r>
      <w:r>
        <w:lastRenderedPageBreak/>
        <w:t>Pressure Monitoring (ABPM) and Home BPM (HBPM) in order to exclude the presence of White Coat Hypertension (WCH), as the benefits of tre</w:t>
      </w:r>
      <w:r>
        <w:t>atment are yet unproven [</w:t>
      </w:r>
      <w:r>
        <w:rPr>
          <w:color w:val="0087BE"/>
        </w:rPr>
        <w:t>10</w:t>
      </w:r>
      <w:r>
        <w:t>]. WCH is defined as persistently raised clinic blood pressure readings (≥140/90 mmHg) in individuals who have normal HBPM or ABPM readings (&lt;135/85 mmHg) and may affect up to 50% of the population, according to some studies [</w:t>
      </w:r>
      <w:r>
        <w:rPr>
          <w:color w:val="0087BE"/>
        </w:rPr>
        <w:t>13</w:t>
      </w:r>
      <w:proofErr w:type="gramStart"/>
      <w:r>
        <w:rPr>
          <w:color w:val="0087BE"/>
        </w:rPr>
        <w:t>,</w:t>
      </w:r>
      <w:r>
        <w:rPr>
          <w:color w:val="0087BE"/>
        </w:rPr>
        <w:t>14</w:t>
      </w:r>
      <w:proofErr w:type="gramEnd"/>
      <w:r>
        <w:t>]. Interestingly, up to 42% of patients who have WCH go on to develop sustained hypertension [</w:t>
      </w:r>
      <w:r>
        <w:rPr>
          <w:color w:val="0087BE"/>
        </w:rPr>
        <w:t>13</w:t>
      </w:r>
      <w:r>
        <w:t xml:space="preserve">]. Evidence for a role for the active treatment of WCH has been contentious as some research results do </w:t>
      </w:r>
      <w:proofErr w:type="gramStart"/>
      <w:r>
        <w:t>not  support</w:t>
      </w:r>
      <w:proofErr w:type="gramEnd"/>
      <w:r>
        <w:t xml:space="preserve"> protection against cardiovascular events </w:t>
      </w:r>
      <w:r>
        <w:t>[</w:t>
      </w:r>
      <w:r>
        <w:rPr>
          <w:color w:val="0087BE"/>
        </w:rPr>
        <w:t>15</w:t>
      </w:r>
      <w:r>
        <w:t>]. However, a study by Franklin et al. [</w:t>
      </w:r>
      <w:r>
        <w:rPr>
          <w:color w:val="0087BE"/>
        </w:rPr>
        <w:t>16</w:t>
      </w:r>
      <w:r>
        <w:t>] suggests that men and diabetics with untreated WCH are at increased risk. Furthermore, the HYVET ambulatory blood pressure sub study analysis estimates that 50% of patients in the main study may have had WCH [</w:t>
      </w:r>
      <w:r>
        <w:rPr>
          <w:color w:val="0087BE"/>
        </w:rPr>
        <w:t>17</w:t>
      </w:r>
      <w:r>
        <w:t>]. It is therefore as yet unknown whether the patients with WCH benefit from treatment.</w:t>
      </w:r>
    </w:p>
    <w:p w14:paraId="6C5043A8" w14:textId="77777777" w:rsidR="00F9571B" w:rsidRDefault="001177CA">
      <w:pPr>
        <w:pStyle w:val="Heading2"/>
        <w:ind w:left="-5"/>
      </w:pPr>
      <w:r>
        <w:t>1.1. Aim</w:t>
      </w:r>
    </w:p>
    <w:p w14:paraId="5E40633A" w14:textId="77777777" w:rsidR="00F9571B" w:rsidRDefault="001177CA">
      <w:pPr>
        <w:spacing w:after="402"/>
        <w:ind w:left="-5" w:right="0"/>
      </w:pPr>
      <w:proofErr w:type="spellStart"/>
      <w:r>
        <w:t>HYpertension</w:t>
      </w:r>
      <w:proofErr w:type="spellEnd"/>
      <w:r>
        <w:t xml:space="preserve"> in the Very Elderly Trial 2 is a feasibility study, which serves as a prelude to a definitive randomized controlled trial, in order to determine whether the treatment of WCH in the very elderly is feasible and outweighs any adverse events.</w:t>
      </w:r>
    </w:p>
    <w:p w14:paraId="672B8C8C" w14:textId="77777777" w:rsidR="00F9571B" w:rsidRDefault="001177CA">
      <w:pPr>
        <w:pStyle w:val="Heading2"/>
        <w:ind w:left="-5"/>
      </w:pPr>
      <w:r>
        <w:t>1.2</w:t>
      </w:r>
      <w:r>
        <w:t>. Outcomes</w:t>
      </w:r>
    </w:p>
    <w:p w14:paraId="0CBBC6F5" w14:textId="77777777" w:rsidR="00F9571B" w:rsidRDefault="001177CA">
      <w:pPr>
        <w:spacing w:after="72"/>
        <w:ind w:left="-5" w:right="0"/>
      </w:pPr>
      <w:proofErr w:type="spellStart"/>
      <w:r>
        <w:t>HYpertension</w:t>
      </w:r>
      <w:proofErr w:type="spellEnd"/>
      <w:r>
        <w:t xml:space="preserve"> in the Very Elderly Trial 2 focuses on the following outcomes:</w:t>
      </w:r>
    </w:p>
    <w:p w14:paraId="1ACC4E4B" w14:textId="77777777" w:rsidR="00F9571B" w:rsidRDefault="001177CA">
      <w:pPr>
        <w:numPr>
          <w:ilvl w:val="0"/>
          <w:numId w:val="1"/>
        </w:numPr>
        <w:spacing w:after="72"/>
        <w:ind w:right="0" w:hanging="175"/>
      </w:pPr>
      <w:r>
        <w:t>Estimation of the proportion of eligible patients that can be recruited from initial screening.</w:t>
      </w:r>
    </w:p>
    <w:p w14:paraId="2AE449F2" w14:textId="77777777" w:rsidR="00F9571B" w:rsidRDefault="001177CA">
      <w:pPr>
        <w:numPr>
          <w:ilvl w:val="0"/>
          <w:numId w:val="1"/>
        </w:numPr>
        <w:spacing w:after="71"/>
        <w:ind w:right="0" w:hanging="175"/>
      </w:pPr>
      <w:r>
        <w:t>Exploration of different methods of identifying/recruiting patients.</w:t>
      </w:r>
    </w:p>
    <w:p w14:paraId="12F59352" w14:textId="77777777" w:rsidR="00F9571B" w:rsidRDefault="001177CA">
      <w:pPr>
        <w:numPr>
          <w:ilvl w:val="0"/>
          <w:numId w:val="1"/>
        </w:numPr>
        <w:spacing w:after="72"/>
        <w:ind w:right="0" w:hanging="175"/>
      </w:pPr>
      <w:r>
        <w:t>Dete</w:t>
      </w:r>
      <w:r>
        <w:t>rmination of the willingness of General Practices (GPs) to recruit and randomize patients and the willingness of patients to be randomized.</w:t>
      </w:r>
    </w:p>
    <w:p w14:paraId="7221726C" w14:textId="77777777" w:rsidR="00F9571B" w:rsidRDefault="001177CA">
      <w:pPr>
        <w:numPr>
          <w:ilvl w:val="0"/>
          <w:numId w:val="1"/>
        </w:numPr>
        <w:spacing w:after="71"/>
        <w:ind w:right="0" w:hanging="175"/>
      </w:pPr>
      <w:r>
        <w:t>Recruitment rate.</w:t>
      </w:r>
    </w:p>
    <w:p w14:paraId="082F9DF0" w14:textId="77777777" w:rsidR="00F9571B" w:rsidRDefault="001177CA">
      <w:pPr>
        <w:numPr>
          <w:ilvl w:val="0"/>
          <w:numId w:val="1"/>
        </w:numPr>
        <w:spacing w:after="71"/>
        <w:ind w:right="0" w:hanging="175"/>
      </w:pPr>
      <w:r>
        <w:t>Adherence to the treatment protocol.</w:t>
      </w:r>
    </w:p>
    <w:p w14:paraId="25CAA7AD" w14:textId="77777777" w:rsidR="00F9571B" w:rsidRDefault="001177CA">
      <w:pPr>
        <w:numPr>
          <w:ilvl w:val="0"/>
          <w:numId w:val="1"/>
        </w:numPr>
        <w:spacing w:after="71"/>
        <w:ind w:right="0" w:hanging="175"/>
      </w:pPr>
      <w:r>
        <w:t>Withdrawal from the trial.</w:t>
      </w:r>
    </w:p>
    <w:p w14:paraId="6A8F671F" w14:textId="77777777" w:rsidR="00F9571B" w:rsidRDefault="001177CA">
      <w:pPr>
        <w:numPr>
          <w:ilvl w:val="0"/>
          <w:numId w:val="1"/>
        </w:numPr>
        <w:spacing w:after="80" w:line="251" w:lineRule="auto"/>
        <w:ind w:right="0" w:hanging="175"/>
      </w:pPr>
      <w:r>
        <w:t>Expanding the opportunities for Pa</w:t>
      </w:r>
      <w:r>
        <w:t>tient and Public Involvement (PPI) in the research design and its subsequent conduct and dissemination.</w:t>
      </w:r>
    </w:p>
    <w:p w14:paraId="1A73F0D9" w14:textId="77777777" w:rsidR="00F9571B" w:rsidRDefault="001177CA">
      <w:pPr>
        <w:numPr>
          <w:ilvl w:val="0"/>
          <w:numId w:val="1"/>
        </w:numPr>
        <w:spacing w:after="72"/>
        <w:ind w:right="0" w:hanging="175"/>
      </w:pPr>
      <w:r>
        <w:t>Ambulatory and home blood pressure monitoring and whether or not the patient achieves their target blood pressure.</w:t>
      </w:r>
    </w:p>
    <w:p w14:paraId="6CEB6D7A" w14:textId="77777777" w:rsidR="00F9571B" w:rsidRDefault="001177CA">
      <w:pPr>
        <w:numPr>
          <w:ilvl w:val="0"/>
          <w:numId w:val="1"/>
        </w:numPr>
        <w:spacing w:after="401"/>
        <w:ind w:right="0" w:hanging="175"/>
      </w:pPr>
      <w:r>
        <w:t>Composite of cardiovascular events an</w:t>
      </w:r>
      <w:r>
        <w:t>d stroke.</w:t>
      </w:r>
    </w:p>
    <w:p w14:paraId="1ED3C773" w14:textId="77777777" w:rsidR="00F9571B" w:rsidRDefault="001177CA">
      <w:pPr>
        <w:pStyle w:val="Heading1"/>
        <w:spacing w:after="172"/>
        <w:ind w:left="-5"/>
      </w:pPr>
      <w:r>
        <w:t>2. MATERIALS AND METHODS</w:t>
      </w:r>
    </w:p>
    <w:p w14:paraId="3D97506F" w14:textId="77777777" w:rsidR="00F9571B" w:rsidRDefault="001177CA">
      <w:pPr>
        <w:pStyle w:val="Heading2"/>
        <w:ind w:left="-5"/>
      </w:pPr>
      <w:r>
        <w:t>2.1. Design</w:t>
      </w:r>
    </w:p>
    <w:p w14:paraId="70F57B01" w14:textId="77777777" w:rsidR="00F9571B" w:rsidRDefault="001177CA">
      <w:pPr>
        <w:ind w:left="-5" w:right="0"/>
      </w:pPr>
      <w:r>
        <w:t>This is a multi-</w:t>
      </w:r>
      <w:proofErr w:type="spellStart"/>
      <w:r>
        <w:t>center</w:t>
      </w:r>
      <w:proofErr w:type="spellEnd"/>
      <w:r>
        <w:t>, open-label study assessing the feasibility of conducting a randomized controlled trial to treat WCH in the very elderly. It entails a 1:1 randomization of patients to a treatment arm wi</w:t>
      </w:r>
      <w:r>
        <w:t>th established antihypertensive drugs (</w:t>
      </w:r>
      <w:proofErr w:type="spellStart"/>
      <w:r>
        <w:t>Indapamide</w:t>
      </w:r>
      <w:proofErr w:type="spellEnd"/>
      <w:r>
        <w:t xml:space="preserve"> MR and Perindopril </w:t>
      </w:r>
      <w:proofErr w:type="spellStart"/>
      <w:r>
        <w:t>Erbumine</w:t>
      </w:r>
      <w:proofErr w:type="spellEnd"/>
      <w:r>
        <w:t>) [</w:t>
      </w:r>
      <w:r>
        <w:rPr>
          <w:color w:val="0087BE"/>
        </w:rPr>
        <w:t>18</w:t>
      </w:r>
      <w:proofErr w:type="gramStart"/>
      <w:r>
        <w:rPr>
          <w:color w:val="0087BE"/>
        </w:rPr>
        <w:t>,19</w:t>
      </w:r>
      <w:proofErr w:type="gramEnd"/>
      <w:r>
        <w:t xml:space="preserve">] and control arm (no treatment) </w:t>
      </w:r>
      <w:r>
        <w:t>which is the current standard of care (</w:t>
      </w:r>
      <w:r>
        <w:rPr>
          <w:color w:val="0087BE"/>
        </w:rPr>
        <w:t>Figure 1</w:t>
      </w:r>
      <w:r>
        <w:t>). This design will gather preliminary information on the intervention and the feasi</w:t>
      </w:r>
      <w:r>
        <w:t>bility of conducting a full-scale randomized controlled trial.</w:t>
      </w:r>
    </w:p>
    <w:p w14:paraId="147CB68C" w14:textId="77777777" w:rsidR="00F9571B" w:rsidRDefault="001177CA">
      <w:pPr>
        <w:spacing w:after="410" w:line="251" w:lineRule="auto"/>
        <w:ind w:left="-15" w:right="0" w:firstLine="0"/>
        <w:jc w:val="left"/>
      </w:pPr>
      <w:r>
        <w:t>A local PPI group has reviewed the patient facing documents for the trial and a lay member of the public sits on the Trial Steering Committee.</w:t>
      </w:r>
    </w:p>
    <w:p w14:paraId="0F73E2F7" w14:textId="77777777" w:rsidR="00F9571B" w:rsidRDefault="001177CA">
      <w:pPr>
        <w:pStyle w:val="Heading2"/>
        <w:ind w:left="-5"/>
      </w:pPr>
      <w:r>
        <w:t>2.2. Trial Setting</w:t>
      </w:r>
    </w:p>
    <w:p w14:paraId="6BD6E9DB" w14:textId="77777777" w:rsidR="00F9571B" w:rsidRDefault="001177CA">
      <w:pPr>
        <w:ind w:left="-5" w:right="0"/>
      </w:pPr>
      <w:proofErr w:type="spellStart"/>
      <w:r>
        <w:t>HYpertension</w:t>
      </w:r>
      <w:proofErr w:type="spellEnd"/>
      <w:r>
        <w:t xml:space="preserve"> in the Very Elderly Trial 2 will be run from a number of GPs and will be supported by the Primary Care Clinical Research </w:t>
      </w:r>
    </w:p>
    <w:p w14:paraId="2ED66561" w14:textId="77777777" w:rsidR="00F9571B" w:rsidRDefault="001177CA">
      <w:pPr>
        <w:spacing w:after="177" w:line="259" w:lineRule="auto"/>
        <w:ind w:right="-24" w:firstLine="0"/>
        <w:jc w:val="left"/>
      </w:pPr>
      <w:r>
        <w:rPr>
          <w:noProof/>
        </w:rPr>
        <w:drawing>
          <wp:inline distT="0" distB="0" distL="0" distR="0" wp14:anchorId="6296A6AE" wp14:editId="48853D4C">
            <wp:extent cx="3210068" cy="1559555"/>
            <wp:effectExtent l="0" t="0" r="0" b="0"/>
            <wp:docPr id="381" name="Picture 381"/>
            <wp:cNvGraphicFramePr/>
            <a:graphic xmlns:a="http://schemas.openxmlformats.org/drawingml/2006/main">
              <a:graphicData uri="http://schemas.openxmlformats.org/drawingml/2006/picture">
                <pic:pic xmlns:pic="http://schemas.openxmlformats.org/drawingml/2006/picture">
                  <pic:nvPicPr>
                    <pic:cNvPr id="381" name="Picture 381"/>
                    <pic:cNvPicPr/>
                  </pic:nvPicPr>
                  <pic:blipFill>
                    <a:blip r:embed="rId22"/>
                    <a:stretch>
                      <a:fillRect/>
                    </a:stretch>
                  </pic:blipFill>
                  <pic:spPr>
                    <a:xfrm>
                      <a:off x="0" y="0"/>
                      <a:ext cx="3210068" cy="1559555"/>
                    </a:xfrm>
                    <a:prstGeom prst="rect">
                      <a:avLst/>
                    </a:prstGeom>
                  </pic:spPr>
                </pic:pic>
              </a:graphicData>
            </a:graphic>
          </wp:inline>
        </w:drawing>
      </w:r>
    </w:p>
    <w:p w14:paraId="71FC0696" w14:textId="77777777" w:rsidR="00F9571B" w:rsidRDefault="001177CA">
      <w:pPr>
        <w:spacing w:after="361" w:line="259" w:lineRule="auto"/>
        <w:ind w:left="19" w:right="0" w:firstLine="0"/>
        <w:jc w:val="center"/>
      </w:pPr>
      <w:r>
        <w:rPr>
          <w:b/>
          <w:sz w:val="17"/>
        </w:rPr>
        <w:t>Figure 1</w:t>
      </w:r>
      <w:r>
        <w:rPr>
          <w:sz w:val="17"/>
        </w:rPr>
        <w:t xml:space="preserve"> </w:t>
      </w:r>
      <w:r>
        <w:rPr>
          <w:color w:val="DEDDDC"/>
          <w:sz w:val="17"/>
        </w:rPr>
        <w:t>|</w:t>
      </w:r>
      <w:r>
        <w:rPr>
          <w:sz w:val="17"/>
        </w:rPr>
        <w:t xml:space="preserve"> Treatment schedule.</w:t>
      </w:r>
    </w:p>
    <w:p w14:paraId="6C95AC37" w14:textId="77777777" w:rsidR="00F9571B" w:rsidRDefault="001177CA">
      <w:pPr>
        <w:spacing w:after="482"/>
        <w:ind w:left="-5" w:right="0"/>
      </w:pPr>
      <w:r>
        <w:t>Network (CRN) in the Kent, Surrey and Sussex regions of the UK. Suitable GPs will be ide</w:t>
      </w:r>
      <w:r>
        <w:t>ntified by the CRN and will then identify potentially suitable participants from their patient databases and will be responsible for the recruitment and follow up in accordance with the study protocol.</w:t>
      </w:r>
    </w:p>
    <w:p w14:paraId="44FCA068" w14:textId="77777777" w:rsidR="00F9571B" w:rsidRDefault="001177CA">
      <w:pPr>
        <w:pStyle w:val="Heading2"/>
        <w:ind w:left="-5"/>
      </w:pPr>
      <w:r>
        <w:t>2.3. Population and Sample Size</w:t>
      </w:r>
    </w:p>
    <w:p w14:paraId="2AA29B50" w14:textId="77777777" w:rsidR="00F9571B" w:rsidRDefault="001177CA">
      <w:pPr>
        <w:spacing w:after="482"/>
        <w:ind w:left="-5" w:right="0"/>
      </w:pPr>
      <w:r>
        <w:t>One hundred participan</w:t>
      </w:r>
      <w:r>
        <w:t>ts will be randomized for this feasibility study after having been confirmed with WCH based on ABPM or HBPM. A sample size calculation has not been performed as HYVET 2 is a feasibility study and simple descriptive statistics will be presented, i.e. freque</w:t>
      </w:r>
      <w:r>
        <w:t>ncies and percentages for binary and categorical variables and means and standard deviations for normally distributed variables and medians and interquartile ranges for skewed continuous variables. A more detailed statistical analysis plan will be agreed a</w:t>
      </w:r>
      <w:r>
        <w:t>nd signed off prior to final data analysis.</w:t>
      </w:r>
    </w:p>
    <w:p w14:paraId="3B2D0442" w14:textId="77777777" w:rsidR="00F9571B" w:rsidRDefault="001177CA">
      <w:pPr>
        <w:pStyle w:val="Heading2"/>
        <w:ind w:left="-5"/>
      </w:pPr>
      <w:r>
        <w:t>2.4. Inclusion Criteria</w:t>
      </w:r>
    </w:p>
    <w:p w14:paraId="49093AA8" w14:textId="77777777" w:rsidR="00F9571B" w:rsidRDefault="001177CA">
      <w:pPr>
        <w:numPr>
          <w:ilvl w:val="0"/>
          <w:numId w:val="2"/>
        </w:numPr>
        <w:ind w:right="0" w:hanging="175"/>
      </w:pPr>
      <w:proofErr w:type="gramStart"/>
      <w:r>
        <w:t>Participants</w:t>
      </w:r>
      <w:proofErr w:type="gramEnd"/>
      <w:r>
        <w:t xml:space="preserve"> ≥75 years of age.</w:t>
      </w:r>
    </w:p>
    <w:p w14:paraId="021C2157" w14:textId="77777777" w:rsidR="00F9571B" w:rsidRDefault="001177CA">
      <w:pPr>
        <w:numPr>
          <w:ilvl w:val="0"/>
          <w:numId w:val="2"/>
        </w:numPr>
        <w:ind w:right="0" w:hanging="175"/>
      </w:pPr>
      <w:r>
        <w:t>Clinic sitting systolic BP ≥150 mmHg but &lt;200 mmHg and a diastolic BP &lt;110 mmHg.</w:t>
      </w:r>
    </w:p>
    <w:p w14:paraId="0C37C613" w14:textId="77777777" w:rsidR="00F9571B" w:rsidRDefault="001177CA">
      <w:pPr>
        <w:numPr>
          <w:ilvl w:val="0"/>
          <w:numId w:val="2"/>
        </w:numPr>
        <w:ind w:right="0" w:hanging="175"/>
      </w:pPr>
      <w:r>
        <w:t>Established diagnosis of WCH - confirmed if the mean ambulatory day time sys</w:t>
      </w:r>
      <w:r>
        <w:t>tolic BP is &lt;135 mmHg and diastolic BP is &lt;85 mmHg (from at least 14 measurements) or from an average HBPM from BP readings twice a day for at least 5 days (ideally 7 days).</w:t>
      </w:r>
    </w:p>
    <w:p w14:paraId="52B6749C" w14:textId="77777777" w:rsidR="00F9571B" w:rsidRDefault="001177CA">
      <w:pPr>
        <w:numPr>
          <w:ilvl w:val="0"/>
          <w:numId w:val="2"/>
        </w:numPr>
        <w:ind w:right="0" w:hanging="175"/>
      </w:pPr>
      <w:r>
        <w:lastRenderedPageBreak/>
        <w:t>Not prescribed drug therapy indicated for treatment of hypertension within the las</w:t>
      </w:r>
      <w:r>
        <w:t>t 6 months.</w:t>
      </w:r>
    </w:p>
    <w:p w14:paraId="3CA46DDD" w14:textId="77777777" w:rsidR="00F9571B" w:rsidRDefault="001177CA">
      <w:pPr>
        <w:numPr>
          <w:ilvl w:val="0"/>
          <w:numId w:val="2"/>
        </w:numPr>
        <w:ind w:right="0" w:hanging="175"/>
      </w:pPr>
      <w:r>
        <w:t>Capacity to consent.</w:t>
      </w:r>
    </w:p>
    <w:p w14:paraId="0B1782BE" w14:textId="77777777" w:rsidR="00F9571B" w:rsidRDefault="001177CA">
      <w:pPr>
        <w:numPr>
          <w:ilvl w:val="0"/>
          <w:numId w:val="2"/>
        </w:numPr>
        <w:spacing w:after="482"/>
        <w:ind w:right="0" w:hanging="175"/>
      </w:pPr>
      <w:r>
        <w:t>Ability to comply with the protocol and additional study visits and assessments.</w:t>
      </w:r>
    </w:p>
    <w:p w14:paraId="1FFF6321" w14:textId="77777777" w:rsidR="00F9571B" w:rsidRDefault="001177CA">
      <w:pPr>
        <w:pStyle w:val="Heading2"/>
        <w:ind w:left="-5"/>
      </w:pPr>
      <w:r>
        <w:t>2.5. Exclusion Criteria</w:t>
      </w:r>
    </w:p>
    <w:p w14:paraId="238AB3FE" w14:textId="77777777" w:rsidR="00F9571B" w:rsidRDefault="001177CA">
      <w:pPr>
        <w:numPr>
          <w:ilvl w:val="0"/>
          <w:numId w:val="3"/>
        </w:numPr>
        <w:ind w:right="0" w:hanging="175"/>
      </w:pPr>
      <w:r>
        <w:t xml:space="preserve">Contraindication to the use of </w:t>
      </w:r>
      <w:proofErr w:type="spellStart"/>
      <w:r>
        <w:t>Indapamide</w:t>
      </w:r>
      <w:proofErr w:type="spellEnd"/>
      <w:r>
        <w:t xml:space="preserve"> MR and Perindopril in accordance with the summary of product characteristics.</w:t>
      </w:r>
    </w:p>
    <w:p w14:paraId="1B27EA4C" w14:textId="77777777" w:rsidR="00F9571B" w:rsidRDefault="001177CA">
      <w:pPr>
        <w:numPr>
          <w:ilvl w:val="0"/>
          <w:numId w:val="3"/>
        </w:numPr>
        <w:ind w:right="0" w:hanging="175"/>
      </w:pPr>
      <w:r>
        <w:t>Regular non-steroidal anti-inflammatory drug (NSAID) use. Regular use being defined by the local GPs with consideration to cardiovascula</w:t>
      </w:r>
      <w:r>
        <w:t>r risk and blood pressure.</w:t>
      </w:r>
    </w:p>
    <w:p w14:paraId="655422F9" w14:textId="77777777" w:rsidR="00F9571B" w:rsidRDefault="001177CA">
      <w:pPr>
        <w:numPr>
          <w:ilvl w:val="0"/>
          <w:numId w:val="3"/>
        </w:numPr>
        <w:ind w:right="0" w:hanging="175"/>
      </w:pPr>
      <w:r>
        <w:t>Hypertensive emergency.</w:t>
      </w:r>
    </w:p>
    <w:p w14:paraId="67CEA197" w14:textId="77777777" w:rsidR="00F9571B" w:rsidRDefault="001177CA">
      <w:pPr>
        <w:numPr>
          <w:ilvl w:val="0"/>
          <w:numId w:val="3"/>
        </w:numPr>
        <w:ind w:right="0" w:hanging="175"/>
      </w:pPr>
      <w:r>
        <w:t>Secondary hypertension.</w:t>
      </w:r>
    </w:p>
    <w:p w14:paraId="7D1A16B6" w14:textId="77777777" w:rsidR="00F9571B" w:rsidRDefault="001177CA">
      <w:pPr>
        <w:numPr>
          <w:ilvl w:val="0"/>
          <w:numId w:val="3"/>
        </w:numPr>
        <w:ind w:right="0" w:hanging="175"/>
      </w:pPr>
      <w:r>
        <w:t>Postural hypotension (postural drop in systolic BP ≥20 mmHg or postural symptoms at screening).</w:t>
      </w:r>
    </w:p>
    <w:p w14:paraId="6CE643CB" w14:textId="77777777" w:rsidR="00F9571B" w:rsidRDefault="001177CA">
      <w:pPr>
        <w:numPr>
          <w:ilvl w:val="0"/>
          <w:numId w:val="3"/>
        </w:numPr>
        <w:ind w:right="0" w:hanging="175"/>
      </w:pPr>
      <w:r>
        <w:t>Any stroke or myocardial infarction in the previous 6 months.</w:t>
      </w:r>
    </w:p>
    <w:p w14:paraId="58C3B05D" w14:textId="77777777" w:rsidR="00F9571B" w:rsidRDefault="001177CA">
      <w:pPr>
        <w:numPr>
          <w:ilvl w:val="0"/>
          <w:numId w:val="3"/>
        </w:numPr>
        <w:ind w:right="0" w:hanging="175"/>
      </w:pPr>
      <w:r>
        <w:t>Heart failure requiring</w:t>
      </w:r>
      <w:r>
        <w:t xml:space="preserve"> treatment with drugs having an antihypertensive effect.</w:t>
      </w:r>
    </w:p>
    <w:p w14:paraId="6651D618" w14:textId="77777777" w:rsidR="00F9571B" w:rsidRDefault="001177CA">
      <w:pPr>
        <w:numPr>
          <w:ilvl w:val="0"/>
          <w:numId w:val="3"/>
        </w:numPr>
        <w:ind w:right="0" w:hanging="175"/>
      </w:pPr>
      <w:r>
        <w:t>Previous documented evidence of gout.</w:t>
      </w:r>
    </w:p>
    <w:p w14:paraId="6C8F4FA7" w14:textId="77777777" w:rsidR="00F9571B" w:rsidRDefault="001177CA">
      <w:pPr>
        <w:numPr>
          <w:ilvl w:val="0"/>
          <w:numId w:val="3"/>
        </w:numPr>
        <w:ind w:right="0" w:hanging="175"/>
      </w:pPr>
      <w:proofErr w:type="gramStart"/>
      <w:r>
        <w:t>estimated</w:t>
      </w:r>
      <w:proofErr w:type="gramEnd"/>
      <w:r>
        <w:t xml:space="preserve"> Glomerular Filtration Rate (</w:t>
      </w:r>
      <w:proofErr w:type="spellStart"/>
      <w:r>
        <w:t>eGFR</w:t>
      </w:r>
      <w:proofErr w:type="spellEnd"/>
      <w:r>
        <w:t>) &lt;30 ml/min.</w:t>
      </w:r>
    </w:p>
    <w:p w14:paraId="50EF99F3" w14:textId="77777777" w:rsidR="00F9571B" w:rsidRDefault="001177CA">
      <w:pPr>
        <w:numPr>
          <w:ilvl w:val="0"/>
          <w:numId w:val="3"/>
        </w:numPr>
        <w:ind w:right="0" w:hanging="175"/>
      </w:pPr>
      <w:r>
        <w:t>Montreal cognitive assessment score (</w:t>
      </w:r>
      <w:proofErr w:type="spellStart"/>
      <w:r>
        <w:t>MoCA</w:t>
      </w:r>
      <w:proofErr w:type="spellEnd"/>
      <w:r>
        <w:t>) &lt;22.</w:t>
      </w:r>
    </w:p>
    <w:p w14:paraId="12F1E8DB" w14:textId="77777777" w:rsidR="00F9571B" w:rsidRDefault="001177CA">
      <w:pPr>
        <w:numPr>
          <w:ilvl w:val="0"/>
          <w:numId w:val="3"/>
        </w:numPr>
        <w:spacing w:after="421"/>
        <w:ind w:right="0" w:hanging="175"/>
      </w:pPr>
      <w:r>
        <w:t>Life expectancy &lt;1 year due to malignancy or chronic dise</w:t>
      </w:r>
      <w:r>
        <w:t>ase.</w:t>
      </w:r>
    </w:p>
    <w:p w14:paraId="657ECA69" w14:textId="77777777" w:rsidR="00F9571B" w:rsidRDefault="001177CA">
      <w:pPr>
        <w:pStyle w:val="Heading2"/>
        <w:ind w:left="-5"/>
      </w:pPr>
      <w:r>
        <w:t>2.6. Recruitment</w:t>
      </w:r>
    </w:p>
    <w:p w14:paraId="4C280878" w14:textId="77777777" w:rsidR="00F9571B" w:rsidRDefault="001177CA">
      <w:pPr>
        <w:ind w:left="-5" w:right="0"/>
      </w:pPr>
      <w:proofErr w:type="spellStart"/>
      <w:r>
        <w:t>HYpertension</w:t>
      </w:r>
      <w:proofErr w:type="spellEnd"/>
      <w:r>
        <w:t xml:space="preserve"> in the Very Elderly Trial 2 will recruit initially from GPs based in the Kent, Surrey and Sussex CRN region of the UK. Each GPs will aim to recruit at least two patients over a 1-year period. This will allow accurate dete</w:t>
      </w:r>
      <w:r>
        <w:t>rmination of the total number of GPs required for the definitive trial.</w:t>
      </w:r>
    </w:p>
    <w:p w14:paraId="36D9B3C5" w14:textId="77777777" w:rsidR="00F9571B" w:rsidRDefault="001177CA">
      <w:pPr>
        <w:ind w:left="-5" w:right="0"/>
      </w:pPr>
      <w:r>
        <w:t>Eligible participants will be identified from the GPs electronic records, as well as those who have had ABPM and/or HBPM in the last 2 years and have not been prescribed drug therapy i</w:t>
      </w:r>
      <w:r>
        <w:t>ndicated for treatment of hypertension within the last 6 months. These patients will be invited to participate in the trial via a mail out from the GPs. The Patient Information Sheet will be sent out to potential participants along with a covering letter i</w:t>
      </w:r>
      <w:r>
        <w:t>ntroducing the study. A follow-up phone call will be made to the potential participant to determine whether they are interested in participating in the trial or the participant may phone the local research contact if preferred. In addition, opportunistic r</w:t>
      </w:r>
      <w:r>
        <w:t>ecruitment will also be possible.</w:t>
      </w:r>
    </w:p>
    <w:p w14:paraId="58D24DAE" w14:textId="77777777" w:rsidR="00F9571B" w:rsidRDefault="001177CA">
      <w:pPr>
        <w:spacing w:after="422"/>
        <w:ind w:left="-5" w:right="0"/>
      </w:pPr>
      <w:r>
        <w:t>For those patients that are eligible but not randomized, anonymized information will be collected where appropriate to document why randomization did not occur on a HYVET 2 Screening Log. This is an important information f</w:t>
      </w:r>
      <w:r>
        <w:t>or a feasibility trial.</w:t>
      </w:r>
    </w:p>
    <w:p w14:paraId="16FAE022" w14:textId="77777777" w:rsidR="00F9571B" w:rsidRDefault="001177CA">
      <w:pPr>
        <w:pStyle w:val="Heading2"/>
        <w:ind w:left="-5"/>
      </w:pPr>
      <w:r>
        <w:t>2.7. Obtaining Informed Consent</w:t>
      </w:r>
    </w:p>
    <w:p w14:paraId="31753C9D" w14:textId="77777777" w:rsidR="00F9571B" w:rsidRDefault="001177CA">
      <w:pPr>
        <w:ind w:left="-5" w:right="0"/>
      </w:pPr>
      <w:r>
        <w:t xml:space="preserve">Written informed consent forms will be personally signed and dated by the participant as well as the medical practitioner receiving consent. The person who provides the initial information should not </w:t>
      </w:r>
      <w:r>
        <w:t>be the same person who receives consent. If the participant is unable to sign the consent form, then an attempt to mark the document should be encouraged and a witness statement and signature provided by a carer (or equivalent) of the participant. If the p</w:t>
      </w:r>
      <w:r>
        <w:t xml:space="preserve">articipant loses capacity during the trial, the original consent endures the loss of capacity providing that the trial has not significantly altered. Once a participant has consented to the trial, they will be allocated a unique Participant Identification </w:t>
      </w:r>
      <w:r>
        <w:t>Number (PIN). These details will be logged on the Subject Identification Log. This document must remain at the investigator site at all times. Copies must not be sent to the Clinical Trials Unit.</w:t>
      </w:r>
    </w:p>
    <w:p w14:paraId="79A318B7" w14:textId="77777777" w:rsidR="00F9571B" w:rsidRDefault="001177CA">
      <w:pPr>
        <w:pStyle w:val="Heading2"/>
        <w:ind w:left="-5"/>
      </w:pPr>
      <w:r>
        <w:t>2.8. Randomization and Group Allocation</w:t>
      </w:r>
    </w:p>
    <w:p w14:paraId="00F821D7" w14:textId="77777777" w:rsidR="00F9571B" w:rsidRDefault="001177CA">
      <w:pPr>
        <w:ind w:left="-5" w:right="0"/>
      </w:pPr>
      <w:r>
        <w:t>After a medically qu</w:t>
      </w:r>
      <w:r>
        <w:t>alified professional has checked and signed off that the participant is eligible for the study, they will be randomized to a trial arm. Randomization will be performed using the web-based system ‘Sealed Envelope’ (https</w:t>
      </w:r>
      <w:proofErr w:type="gramStart"/>
      <w:r>
        <w:t>:/</w:t>
      </w:r>
      <w:proofErr w:type="gramEnd"/>
      <w:r>
        <w:t>/www.sealedenvelope. com/). The HYV</w:t>
      </w:r>
      <w:r>
        <w:t>ET 2 Randomization Guide details how to log on to randomize a participant.</w:t>
      </w:r>
    </w:p>
    <w:p w14:paraId="4A36E43C" w14:textId="77777777" w:rsidR="00F9571B" w:rsidRDefault="001177CA">
      <w:pPr>
        <w:ind w:left="-5" w:right="0"/>
      </w:pPr>
      <w:r>
        <w:t xml:space="preserve">Simple randomization will be used, with a 1:1 allocation ratio. The allocation will be concealed. The randomization service providers generate a randomization list and upload it to </w:t>
      </w:r>
      <w:r>
        <w:t>the system. As each participant is entered onto the system by the site, the next randomization allocation is revealed. The next allocation in the sequence is concealed until irreversibly assigned to a participant.</w:t>
      </w:r>
    </w:p>
    <w:p w14:paraId="36DEB54E" w14:textId="77777777" w:rsidR="00F9571B" w:rsidRDefault="001177CA">
      <w:pPr>
        <w:ind w:left="-5" w:right="0"/>
      </w:pPr>
      <w:r>
        <w:t>Once randomization has been performed by t</w:t>
      </w:r>
      <w:r>
        <w:t>he site, a randomization notification email detailing date of randomization, trial arm and PIN number will be sent to the randomizer and the trial management team.</w:t>
      </w:r>
    </w:p>
    <w:p w14:paraId="18DE38AC" w14:textId="77777777" w:rsidR="00F9571B" w:rsidRDefault="001177CA">
      <w:pPr>
        <w:spacing w:after="462"/>
        <w:ind w:left="-5" w:right="0"/>
      </w:pPr>
      <w:r>
        <w:t>Participants will be randomized to either arm of the study as described above.</w:t>
      </w:r>
    </w:p>
    <w:p w14:paraId="2030CEF7" w14:textId="77777777" w:rsidR="00F9571B" w:rsidRDefault="001177CA">
      <w:pPr>
        <w:spacing w:after="122" w:line="259" w:lineRule="auto"/>
        <w:ind w:left="-5" w:right="0"/>
        <w:jc w:val="left"/>
      </w:pPr>
      <w:r>
        <w:rPr>
          <w:rFonts w:ascii="Arial" w:eastAsia="Arial" w:hAnsi="Arial" w:cs="Arial"/>
          <w:b/>
          <w:sz w:val="24"/>
        </w:rPr>
        <w:t>2.9. Study Interventions</w:t>
      </w:r>
    </w:p>
    <w:p w14:paraId="0B80A137" w14:textId="77777777" w:rsidR="00F9571B" w:rsidRDefault="001177CA">
      <w:pPr>
        <w:spacing w:after="461"/>
        <w:ind w:left="-5" w:right="0"/>
      </w:pPr>
      <w:r>
        <w:t xml:space="preserve">A summary of study interventions is highlighted in </w:t>
      </w:r>
      <w:r>
        <w:rPr>
          <w:color w:val="0087BE"/>
        </w:rPr>
        <w:t>Table 1</w:t>
      </w:r>
      <w:r>
        <w:t>.</w:t>
      </w:r>
    </w:p>
    <w:p w14:paraId="60B57965" w14:textId="77777777" w:rsidR="00F9571B" w:rsidRDefault="001177CA">
      <w:pPr>
        <w:pStyle w:val="Heading2"/>
        <w:ind w:left="-5"/>
      </w:pPr>
      <w:r>
        <w:t>2.10. Clinic BP</w:t>
      </w:r>
    </w:p>
    <w:p w14:paraId="2CFEFD4C" w14:textId="77777777" w:rsidR="00F9571B" w:rsidRDefault="001177CA">
      <w:pPr>
        <w:ind w:left="-5" w:right="0"/>
      </w:pPr>
      <w:r>
        <w:t xml:space="preserve">Clinic BP measurement will be performed using an internationally validated automated </w:t>
      </w:r>
      <w:proofErr w:type="spellStart"/>
      <w:r>
        <w:t>oscillometric</w:t>
      </w:r>
      <w:proofErr w:type="spellEnd"/>
      <w:r>
        <w:t xml:space="preserve"> sphygmomanometer – e.g. Omron 705 </w:t>
      </w:r>
      <w:proofErr w:type="spellStart"/>
      <w:r>
        <w:t>cp</w:t>
      </w:r>
      <w:proofErr w:type="spellEnd"/>
      <w:r>
        <w:t>-II.</w:t>
      </w:r>
    </w:p>
    <w:p w14:paraId="4D480BC6" w14:textId="77777777" w:rsidR="00F9571B" w:rsidRDefault="001177CA">
      <w:pPr>
        <w:numPr>
          <w:ilvl w:val="0"/>
          <w:numId w:val="4"/>
        </w:numPr>
        <w:spacing w:after="64"/>
        <w:ind w:right="0" w:hanging="175"/>
      </w:pPr>
      <w:r>
        <w:t>The participant</w:t>
      </w:r>
      <w:r>
        <w:t xml:space="preserve"> should not have exercised, eaten or smoked for at least half an hour prior to taking blood pressure.</w:t>
      </w:r>
    </w:p>
    <w:p w14:paraId="5FF8897D" w14:textId="77777777" w:rsidR="00F9571B" w:rsidRDefault="001177CA">
      <w:pPr>
        <w:numPr>
          <w:ilvl w:val="0"/>
          <w:numId w:val="4"/>
        </w:numPr>
        <w:ind w:right="0" w:hanging="175"/>
      </w:pPr>
      <w:r>
        <w:t>The arm must be free of tight clothing and supported at heart level.</w:t>
      </w:r>
    </w:p>
    <w:p w14:paraId="5CBF6317" w14:textId="77777777" w:rsidR="00F9571B" w:rsidRDefault="001177CA">
      <w:pPr>
        <w:numPr>
          <w:ilvl w:val="0"/>
          <w:numId w:val="4"/>
        </w:numPr>
        <w:ind w:right="0" w:hanging="175"/>
      </w:pPr>
      <w:r>
        <w:t>The correct cuff size must be used, to avoid over or under estimating BP.</w:t>
      </w:r>
    </w:p>
    <w:p w14:paraId="35494BAA" w14:textId="77777777" w:rsidR="00F9571B" w:rsidRDefault="001177CA">
      <w:pPr>
        <w:numPr>
          <w:ilvl w:val="0"/>
          <w:numId w:val="4"/>
        </w:numPr>
        <w:ind w:right="0" w:hanging="175"/>
      </w:pPr>
      <w:r>
        <w:lastRenderedPageBreak/>
        <w:t xml:space="preserve">BP will be </w:t>
      </w:r>
      <w:r>
        <w:t>measured in both arms at visit 1. Future BPs will be measured in arm with highest BP if there is 20/10 mmHg difference. The arm used must be documented.</w:t>
      </w:r>
    </w:p>
    <w:p w14:paraId="57E87839" w14:textId="77777777" w:rsidR="00F9571B" w:rsidRDefault="001177CA">
      <w:pPr>
        <w:numPr>
          <w:ilvl w:val="0"/>
          <w:numId w:val="4"/>
        </w:numPr>
        <w:ind w:right="0" w:hanging="175"/>
      </w:pPr>
      <w:r>
        <w:t>BP will be measured twice sitting and twice standing; (using an internationally validated automated dev</w:t>
      </w:r>
      <w:r>
        <w:t>ice), after an initial rest of 5 min with 1 min between each reading.</w:t>
      </w:r>
    </w:p>
    <w:p w14:paraId="0C58F6C8" w14:textId="77777777" w:rsidR="00F9571B" w:rsidRDefault="001177CA">
      <w:pPr>
        <w:numPr>
          <w:ilvl w:val="0"/>
          <w:numId w:val="4"/>
        </w:numPr>
        <w:spacing w:after="521"/>
        <w:ind w:right="0" w:hanging="175"/>
      </w:pPr>
      <w:r>
        <w:t>The participant will be asked not to talk during the procedure.</w:t>
      </w:r>
    </w:p>
    <w:p w14:paraId="4C00027D" w14:textId="77777777" w:rsidR="00F9571B" w:rsidRDefault="001177CA">
      <w:pPr>
        <w:spacing w:after="0" w:line="259" w:lineRule="auto"/>
        <w:ind w:left="-5" w:right="0"/>
        <w:jc w:val="left"/>
      </w:pPr>
      <w:r>
        <w:rPr>
          <w:rFonts w:ascii="Arial" w:eastAsia="Arial" w:hAnsi="Arial" w:cs="Arial"/>
          <w:b/>
          <w:sz w:val="24"/>
        </w:rPr>
        <w:t>2.11</w:t>
      </w:r>
      <w:proofErr w:type="gramStart"/>
      <w:r>
        <w:rPr>
          <w:rFonts w:ascii="Arial" w:eastAsia="Arial" w:hAnsi="Arial" w:cs="Arial"/>
          <w:b/>
          <w:sz w:val="24"/>
        </w:rPr>
        <w:t>.  Home</w:t>
      </w:r>
      <w:proofErr w:type="gramEnd"/>
      <w:r>
        <w:rPr>
          <w:rFonts w:ascii="Arial" w:eastAsia="Arial" w:hAnsi="Arial" w:cs="Arial"/>
          <w:b/>
          <w:sz w:val="24"/>
        </w:rPr>
        <w:t xml:space="preserve"> Blood Pressure Monitoring and </w:t>
      </w:r>
    </w:p>
    <w:p w14:paraId="376C5937" w14:textId="77777777" w:rsidR="00F9571B" w:rsidRDefault="001177CA">
      <w:pPr>
        <w:pStyle w:val="Heading1"/>
        <w:ind w:left="0" w:right="23" w:firstLine="0"/>
        <w:jc w:val="right"/>
      </w:pPr>
      <w:r>
        <w:t>Ambulatory Blood Pressure Monitoring</w:t>
      </w:r>
    </w:p>
    <w:p w14:paraId="52A76AB8" w14:textId="77777777" w:rsidR="00F9571B" w:rsidRDefault="001177CA">
      <w:pPr>
        <w:ind w:left="-5" w:right="0"/>
      </w:pPr>
      <w:r>
        <w:t>Participants with a mean sitting clinic systolic BP ≥150 mmHg but &lt;200 mmHg and diastolic BP &lt;110 mmHg from visits 1 and 2, will be offered a 24-h ABPM or HBPM. WCH is confirmed if the mean awake ambulatory systolic BP is &lt;135 mmHg and mean awake ambulator</w:t>
      </w:r>
      <w:r>
        <w:t xml:space="preserve">y diastolic BP is &lt;85mmHg (from at least 14 </w:t>
      </w:r>
    </w:p>
    <w:p w14:paraId="7BB60994" w14:textId="77777777" w:rsidR="00F9571B" w:rsidRDefault="00F9571B">
      <w:pPr>
        <w:sectPr w:rsidR="00F9571B">
          <w:type w:val="continuous"/>
          <w:pgSz w:w="11906" w:h="15874"/>
          <w:pgMar w:top="1204" w:right="719" w:bottom="762" w:left="720" w:header="720" w:footer="720" w:gutter="0"/>
          <w:cols w:num="2" w:space="341"/>
        </w:sectPr>
      </w:pPr>
    </w:p>
    <w:p w14:paraId="119A72D2" w14:textId="77777777" w:rsidR="00F9571B" w:rsidRDefault="001177CA">
      <w:pPr>
        <w:spacing w:after="0" w:line="259" w:lineRule="auto"/>
        <w:ind w:left="474" w:right="0" w:firstLine="0"/>
        <w:jc w:val="left"/>
      </w:pPr>
      <w:r>
        <w:rPr>
          <w:noProof/>
        </w:rPr>
        <w:lastRenderedPageBreak/>
        <w:drawing>
          <wp:inline distT="0" distB="0" distL="0" distR="0" wp14:anchorId="3A8D6F84" wp14:editId="5EFBEBCD">
            <wp:extent cx="5141977" cy="8726424"/>
            <wp:effectExtent l="0" t="0" r="0" b="0"/>
            <wp:docPr id="12644" name="Picture 12644"/>
            <wp:cNvGraphicFramePr/>
            <a:graphic xmlns:a="http://schemas.openxmlformats.org/drawingml/2006/main">
              <a:graphicData uri="http://schemas.openxmlformats.org/drawingml/2006/picture">
                <pic:pic xmlns:pic="http://schemas.openxmlformats.org/drawingml/2006/picture">
                  <pic:nvPicPr>
                    <pic:cNvPr id="12644" name="Picture 12644"/>
                    <pic:cNvPicPr/>
                  </pic:nvPicPr>
                  <pic:blipFill>
                    <a:blip r:embed="rId23"/>
                    <a:stretch>
                      <a:fillRect/>
                    </a:stretch>
                  </pic:blipFill>
                  <pic:spPr>
                    <a:xfrm>
                      <a:off x="0" y="0"/>
                      <a:ext cx="5141977" cy="8726424"/>
                    </a:xfrm>
                    <a:prstGeom prst="rect">
                      <a:avLst/>
                    </a:prstGeom>
                  </pic:spPr>
                </pic:pic>
              </a:graphicData>
            </a:graphic>
          </wp:inline>
        </w:drawing>
      </w:r>
    </w:p>
    <w:p w14:paraId="6D33A619" w14:textId="77777777" w:rsidR="00F9571B" w:rsidRDefault="00F9571B">
      <w:pPr>
        <w:sectPr w:rsidR="00F9571B">
          <w:type w:val="continuous"/>
          <w:pgSz w:w="11906" w:h="15874"/>
          <w:pgMar w:top="1248" w:right="1440" w:bottom="884" w:left="1440" w:header="720" w:footer="720" w:gutter="0"/>
          <w:cols w:space="720"/>
        </w:sectPr>
      </w:pPr>
    </w:p>
    <w:p w14:paraId="7177F5AE" w14:textId="77777777" w:rsidR="00F9571B" w:rsidRDefault="001177CA">
      <w:pPr>
        <w:ind w:left="-5" w:right="0"/>
      </w:pPr>
      <w:proofErr w:type="gramStart"/>
      <w:r>
        <w:lastRenderedPageBreak/>
        <w:t>measurements</w:t>
      </w:r>
      <w:proofErr w:type="gramEnd"/>
      <w:r>
        <w:t>) or from HBPM from BP readings twice a day for at least 5 days. If ABPM or HBPM identifies participants that have sustained hypertension (defined as average BP ≥135</w:t>
      </w:r>
      <w:r>
        <w:t>/85) they will be referred back to the GPs for standard clinical care and will excluded from the study.</w:t>
      </w:r>
    </w:p>
    <w:p w14:paraId="221903EE" w14:textId="77777777" w:rsidR="00F9571B" w:rsidRDefault="001177CA">
      <w:pPr>
        <w:ind w:left="-5" w:right="0"/>
      </w:pPr>
      <w:r>
        <w:t>Ambulatory Blood Pressure Monitoring will be performed by participants at screening visit 2 (</w:t>
      </w:r>
      <w:r>
        <w:rPr>
          <w:color w:val="0087BE"/>
        </w:rPr>
        <w:t>Table 1</w:t>
      </w:r>
      <w:r>
        <w:t>). The participant will be asked to wear the ABPM fo</w:t>
      </w:r>
      <w:r>
        <w:t>r a period of 24 h at home, if tolerated. It will then be returned to the GPs practice on completion. For those who agree to be fitted with the ABPM a guidance leaflet will be issued detailing the management of the ABPM before, during and after the procedu</w:t>
      </w:r>
      <w:r>
        <w:t>re.</w:t>
      </w:r>
    </w:p>
    <w:p w14:paraId="34B894B5" w14:textId="77777777" w:rsidR="00F9571B" w:rsidRDefault="001177CA">
      <w:pPr>
        <w:ind w:left="-5" w:right="0"/>
      </w:pPr>
      <w:r>
        <w:t>Home blood pressure monitoring will be recorded for all participants in the week prior to follow-up visits (</w:t>
      </w:r>
      <w:r>
        <w:rPr>
          <w:color w:val="0087BE"/>
        </w:rPr>
        <w:t>Table 1</w:t>
      </w:r>
      <w:r>
        <w:t>). The BP readings will be recorded twice a day for 5 days, morning and evening at 9 am and 6 pm ±2 h and documented in the HBPM chart pr</w:t>
      </w:r>
      <w:r>
        <w:t>ovided. A guidance leaflet will be issued to all participants with instructions on how to record and document the HPBM.</w:t>
      </w:r>
    </w:p>
    <w:p w14:paraId="282DB607" w14:textId="77777777" w:rsidR="00F9571B" w:rsidRDefault="001177CA">
      <w:pPr>
        <w:spacing w:after="502"/>
        <w:ind w:left="-5" w:right="0"/>
      </w:pPr>
      <w:r>
        <w:t>The preferred option is that all participants undertake the ABPM; however, if participants do not wish to undertake an ABPM they will be</w:t>
      </w:r>
      <w:r>
        <w:t xml:space="preserve"> asked to undertake only HBPM. About 24 h ABPM will be measured using a </w:t>
      </w:r>
      <w:proofErr w:type="spellStart"/>
      <w:r>
        <w:t>Diasys</w:t>
      </w:r>
      <w:proofErr w:type="spellEnd"/>
      <w:r>
        <w:t xml:space="preserve"> Integra II recorder (</w:t>
      </w:r>
      <w:proofErr w:type="spellStart"/>
      <w:r>
        <w:t>Novacor</w:t>
      </w:r>
      <w:proofErr w:type="spellEnd"/>
      <w:r>
        <w:t xml:space="preserve">®, </w:t>
      </w:r>
      <w:proofErr w:type="spellStart"/>
      <w:r>
        <w:t>Cedex</w:t>
      </w:r>
      <w:proofErr w:type="spellEnd"/>
      <w:r>
        <w:t>, France) or another internationally validated device as in the HYVET study [</w:t>
      </w:r>
      <w:r>
        <w:rPr>
          <w:color w:val="0087BE"/>
        </w:rPr>
        <w:t>7</w:t>
      </w:r>
      <w:r>
        <w:t>]. HBPM will be measured by an internationally validated BP dev</w:t>
      </w:r>
      <w:r>
        <w:t>ice.</w:t>
      </w:r>
    </w:p>
    <w:p w14:paraId="7CACEEF3" w14:textId="77777777" w:rsidR="00F9571B" w:rsidRDefault="001177CA">
      <w:pPr>
        <w:pStyle w:val="Heading2"/>
        <w:ind w:left="-5"/>
      </w:pPr>
      <w:r>
        <w:t>2.12. Blood Tests</w:t>
      </w:r>
    </w:p>
    <w:p w14:paraId="1157DA44" w14:textId="77777777" w:rsidR="00F9571B" w:rsidRDefault="001177CA">
      <w:pPr>
        <w:spacing w:after="502"/>
        <w:ind w:left="-5" w:right="0"/>
      </w:pPr>
      <w:r>
        <w:t xml:space="preserve">General practices will perform biochemical and </w:t>
      </w:r>
      <w:proofErr w:type="spellStart"/>
      <w:r>
        <w:t>hematological</w:t>
      </w:r>
      <w:proofErr w:type="spellEnd"/>
      <w:r>
        <w:t xml:space="preserve"> blood samples which will be </w:t>
      </w:r>
      <w:proofErr w:type="spellStart"/>
      <w:r>
        <w:t>analyzed</w:t>
      </w:r>
      <w:proofErr w:type="spellEnd"/>
      <w:r>
        <w:t xml:space="preserve"> using validated laboratory techniques and assays at local laboratories of the recruiting </w:t>
      </w:r>
      <w:proofErr w:type="spellStart"/>
      <w:r>
        <w:t>centers</w:t>
      </w:r>
      <w:proofErr w:type="spellEnd"/>
      <w:r>
        <w:t>.</w:t>
      </w:r>
    </w:p>
    <w:p w14:paraId="725D0B16" w14:textId="77777777" w:rsidR="00F9571B" w:rsidRDefault="001177CA">
      <w:pPr>
        <w:pStyle w:val="Heading2"/>
        <w:ind w:left="-5"/>
      </w:pPr>
      <w:r>
        <w:t>2.13. Electrocardiogram (ECG)</w:t>
      </w:r>
    </w:p>
    <w:p w14:paraId="767F4785" w14:textId="77777777" w:rsidR="00F9571B" w:rsidRDefault="001177CA">
      <w:pPr>
        <w:spacing w:after="442"/>
        <w:ind w:left="-5" w:right="0"/>
      </w:pPr>
      <w:r>
        <w:t>12-Lead</w:t>
      </w:r>
      <w:r>
        <w:t xml:space="preserve"> ECGs will be performed using validated machines available at the recruiting </w:t>
      </w:r>
      <w:proofErr w:type="spellStart"/>
      <w:r>
        <w:t>centers</w:t>
      </w:r>
      <w:proofErr w:type="spellEnd"/>
      <w:r>
        <w:t>.</w:t>
      </w:r>
    </w:p>
    <w:p w14:paraId="0BE7B554" w14:textId="77777777" w:rsidR="00F9571B" w:rsidRDefault="001177CA">
      <w:pPr>
        <w:pStyle w:val="Heading2"/>
        <w:ind w:left="-5"/>
      </w:pPr>
      <w:r>
        <w:t>2.14. Post Study Follow-up</w:t>
      </w:r>
    </w:p>
    <w:p w14:paraId="5323FC4E" w14:textId="77777777" w:rsidR="00F9571B" w:rsidRDefault="001177CA">
      <w:pPr>
        <w:spacing w:after="442"/>
        <w:ind w:left="-5" w:right="0"/>
      </w:pPr>
      <w:r>
        <w:t>Two years after the participant has stopped the treatment, follow-up information will be gathered from the GPs records for each participant, wh</w:t>
      </w:r>
      <w:r>
        <w:t>ere available. This will include documenting whether the participant is alive or deceased and whether any cardiovascular outcomes have occurred. The participant is not contacted directly for this follow-up.</w:t>
      </w:r>
    </w:p>
    <w:p w14:paraId="26931D4C" w14:textId="77777777" w:rsidR="00F9571B" w:rsidRDefault="001177CA">
      <w:pPr>
        <w:pStyle w:val="Heading2"/>
        <w:ind w:left="-5"/>
      </w:pPr>
      <w:r>
        <w:t>2.15. Withdrawal Criteria</w:t>
      </w:r>
    </w:p>
    <w:p w14:paraId="74D7A1BB" w14:textId="77777777" w:rsidR="00F9571B" w:rsidRDefault="001177CA">
      <w:pPr>
        <w:ind w:left="-5" w:right="0"/>
      </w:pPr>
      <w:r>
        <w:t>Each participant has th</w:t>
      </w:r>
      <w:r>
        <w:t xml:space="preserve">e right to withdraw at any time without giving reason but other reasons for withdrawal from the treatment might include postural hypotension and adverse events related to the drug treatment in the intervention arm. If the participant is withdrawn, then if </w:t>
      </w:r>
      <w:r>
        <w:t>at all possible an Early Termination Visit will be performed.</w:t>
      </w:r>
    </w:p>
    <w:p w14:paraId="0F647AD2" w14:textId="77777777" w:rsidR="00F9571B" w:rsidRDefault="001177CA">
      <w:pPr>
        <w:pStyle w:val="Heading1"/>
        <w:ind w:left="-5"/>
      </w:pPr>
      <w:r>
        <w:t>3. DATA ANALYSIS</w:t>
      </w:r>
    </w:p>
    <w:p w14:paraId="1CC895BF" w14:textId="77777777" w:rsidR="00F9571B" w:rsidRDefault="001177CA">
      <w:pPr>
        <w:ind w:left="-5" w:right="0"/>
      </w:pPr>
      <w:r>
        <w:t>Data will be exported from the MACRO by the data manager in Stata 14 format (or higher) and imported into Stata where descriptive analyses will be undertaken by the trial statis</w:t>
      </w:r>
      <w:r>
        <w:t>tician.</w:t>
      </w:r>
    </w:p>
    <w:p w14:paraId="5625707D" w14:textId="77777777" w:rsidR="00F9571B" w:rsidRDefault="001177CA">
      <w:pPr>
        <w:ind w:left="-5" w:right="0"/>
      </w:pPr>
      <w:r>
        <w:t>As this is a feasibility trial, simple descriptive statistics will be presented i.e. frequencies and percentages for binary and categorical variables and means and standard deviations for normally distributed variables and medians and interquartile</w:t>
      </w:r>
      <w:r>
        <w:t xml:space="preserve"> ranges for skewed continuous variables. A more detailed statistical analysis plan will be agreed and signed off prior to final data analysis.</w:t>
      </w:r>
    </w:p>
    <w:p w14:paraId="75595CC6" w14:textId="77777777" w:rsidR="00F9571B" w:rsidRDefault="001177CA">
      <w:pPr>
        <w:ind w:left="-5" w:right="0"/>
      </w:pPr>
      <w:r>
        <w:t xml:space="preserve">Patient flow through the trial will be shown in a CONSORT diagram in accordance with the CONSORT </w:t>
      </w:r>
      <w:proofErr w:type="spellStart"/>
      <w:r>
        <w:t>extention</w:t>
      </w:r>
      <w:proofErr w:type="spellEnd"/>
      <w:r>
        <w:t xml:space="preserve"> for pi</w:t>
      </w:r>
      <w:r>
        <w:t>lot and feasibility studies (</w:t>
      </w:r>
      <w:r>
        <w:rPr>
          <w:color w:val="0087BE"/>
        </w:rPr>
        <w:t>Figure 2</w:t>
      </w:r>
      <w:r>
        <w:t>).</w:t>
      </w:r>
    </w:p>
    <w:p w14:paraId="00491151" w14:textId="77777777" w:rsidR="00F9571B" w:rsidRDefault="001177CA">
      <w:pPr>
        <w:ind w:left="-5" w:right="0"/>
      </w:pPr>
      <w:r>
        <w:t>Apart from the feasibility outcomes stated above no other primary outcome is specified and secondary outcome, subgroup and adjusted analyses are not applicable. Furthermore, neither interim analysis nor early stoppin</w:t>
      </w:r>
      <w:r>
        <w:t>g criteria are planned.</w:t>
      </w:r>
    </w:p>
    <w:p w14:paraId="0E2A0DCC" w14:textId="77777777" w:rsidR="00F9571B" w:rsidRDefault="001177CA">
      <w:pPr>
        <w:spacing w:after="442"/>
        <w:ind w:left="-5" w:right="0"/>
      </w:pPr>
      <w:r>
        <w:t>There will be a large degree of uncertainty around the propor</w:t>
      </w:r>
      <w:r>
        <w:t>tion of Serious Adverse Reactions (SARs) as it is anticipated that these would be rare. To illustrate this, SARs attributable to the Investigational Medicinal Product (IMP) listed on the patient’s information leaflet are presented with likely frequencies [</w:t>
      </w:r>
      <w:r>
        <w:rPr>
          <w:color w:val="0087BE"/>
        </w:rPr>
        <w:t>18</w:t>
      </w:r>
      <w:proofErr w:type="gramStart"/>
      <w:r>
        <w:rPr>
          <w:color w:val="0087BE"/>
        </w:rPr>
        <w:t>,19</w:t>
      </w:r>
      <w:proofErr w:type="gramEnd"/>
      <w:r>
        <w:t>]. With only 50 patients receiving IMP in this study, the 95% confidence interval around the event rate will be so wide that we would be most unlikely to detect an exaggerated event rate, this being the basis of a stopping rule.</w:t>
      </w:r>
    </w:p>
    <w:p w14:paraId="7E5FF584" w14:textId="77777777" w:rsidR="00F9571B" w:rsidRDefault="001177CA">
      <w:pPr>
        <w:pStyle w:val="Heading1"/>
        <w:ind w:left="-5"/>
      </w:pPr>
      <w:r>
        <w:t>4. LIMITATIONS OF STUD</w:t>
      </w:r>
      <w:r>
        <w:t>Y</w:t>
      </w:r>
    </w:p>
    <w:p w14:paraId="425AD02E" w14:textId="77777777" w:rsidR="00F9571B" w:rsidRDefault="001177CA">
      <w:pPr>
        <w:ind w:left="-5" w:right="0"/>
      </w:pPr>
      <w:r>
        <w:t>Currently WCH is a condition that is not treated; hence, a major issue will be to convince eligible participants to be part of the study. Older patients often already take multiple medication, so adding more medication might be challenging. Locating pati</w:t>
      </w:r>
      <w:r>
        <w:t>ents from GPs databases will also be an issue given the fact that WCH is a condition is not treated and often not documented as a diagnosis. To address these issues we have on our team general practitioners with expertise in primary care systems which will</w:t>
      </w:r>
      <w:r>
        <w:t xml:space="preserve"> help identify eligible patients. The study is conducted with support from trained research nurses who will explain the benefits versus adverse effects to patients in detail. Primary care CRN are part of the study and are also helping to address the above </w:t>
      </w:r>
      <w:r>
        <w:t>issues.</w:t>
      </w:r>
    </w:p>
    <w:p w14:paraId="30F15119" w14:textId="77777777" w:rsidR="00F9571B" w:rsidRDefault="001177CA">
      <w:pPr>
        <w:spacing w:after="442"/>
        <w:ind w:left="-5" w:right="0"/>
      </w:pPr>
      <w:r>
        <w:t>Another limitation is that the pharmacological treatment (</w:t>
      </w:r>
      <w:proofErr w:type="spellStart"/>
      <w:r>
        <w:t>inda</w:t>
      </w:r>
      <w:proofErr w:type="spellEnd"/>
      <w:r>
        <w:t xml:space="preserve"> </w:t>
      </w:r>
      <w:proofErr w:type="spellStart"/>
      <w:r>
        <w:t>pamide</w:t>
      </w:r>
      <w:proofErr w:type="spellEnd"/>
      <w:r>
        <w:t xml:space="preserve"> ± perindopril) chosen for this study is not strictly in line with the NICE guidelines for the treatment of hypertension. The reasoning behind this treatment regimen is that it wa</w:t>
      </w:r>
      <w:r>
        <w:t>s used in the HYVET trial and has been demonstrated to be effective for the treatment of hypertension in the very elderly. This approach also allows for comparison of treatment effects in HYVET versus HYVET 2. In an attempt mitigate this issue, research in</w:t>
      </w:r>
      <w:r>
        <w:t>vestigators have visited trial sites in order to explain the rationale and are readily available to discuss any queries.</w:t>
      </w:r>
    </w:p>
    <w:p w14:paraId="34C10480" w14:textId="77777777" w:rsidR="00F9571B" w:rsidRDefault="001177CA">
      <w:pPr>
        <w:pStyle w:val="Heading1"/>
        <w:ind w:left="-5"/>
      </w:pPr>
      <w:r>
        <w:lastRenderedPageBreak/>
        <w:t>5. ETHICS, DISSEMINATION AND IMPACT</w:t>
      </w:r>
    </w:p>
    <w:tbl>
      <w:tblPr>
        <w:tblStyle w:val="TableGrid"/>
        <w:tblpPr w:vertAnchor="text" w:horzAnchor="margin" w:tblpY="486"/>
        <w:tblOverlap w:val="never"/>
        <w:tblW w:w="10507" w:type="dxa"/>
        <w:tblInd w:w="0" w:type="dxa"/>
        <w:tblCellMar>
          <w:top w:w="0" w:type="dxa"/>
          <w:left w:w="2043" w:type="dxa"/>
          <w:bottom w:w="0" w:type="dxa"/>
          <w:right w:w="2084" w:type="dxa"/>
        </w:tblCellMar>
        <w:tblLook w:val="04A0" w:firstRow="1" w:lastRow="0" w:firstColumn="1" w:lastColumn="0" w:noHBand="0" w:noVBand="1"/>
      </w:tblPr>
      <w:tblGrid>
        <w:gridCol w:w="10507"/>
      </w:tblGrid>
      <w:tr w:rsidR="00F9571B" w14:paraId="5D6CC581" w14:textId="77777777">
        <w:trPr>
          <w:trHeight w:val="239"/>
        </w:trPr>
        <w:tc>
          <w:tcPr>
            <w:tcW w:w="4476" w:type="dxa"/>
            <w:tcBorders>
              <w:top w:val="nil"/>
              <w:left w:val="nil"/>
              <w:bottom w:val="nil"/>
              <w:right w:val="nil"/>
            </w:tcBorders>
            <w:vAlign w:val="bottom"/>
          </w:tcPr>
          <w:p w14:paraId="6BD662DC" w14:textId="77777777" w:rsidR="00F9571B" w:rsidRDefault="001177CA">
            <w:pPr>
              <w:spacing w:after="136" w:line="259" w:lineRule="auto"/>
              <w:ind w:left="0" w:right="0" w:firstLine="0"/>
              <w:jc w:val="left"/>
            </w:pPr>
            <w:r>
              <w:rPr>
                <w:noProof/>
              </w:rPr>
              <w:drawing>
                <wp:inline distT="0" distB="0" distL="0" distR="0" wp14:anchorId="0191F0F1" wp14:editId="56D4FC61">
                  <wp:extent cx="4051299" cy="4149664"/>
                  <wp:effectExtent l="0" t="0" r="0" b="0"/>
                  <wp:docPr id="1077" name="Picture 1077"/>
                  <wp:cNvGraphicFramePr/>
                  <a:graphic xmlns:a="http://schemas.openxmlformats.org/drawingml/2006/main">
                    <a:graphicData uri="http://schemas.openxmlformats.org/drawingml/2006/picture">
                      <pic:pic xmlns:pic="http://schemas.openxmlformats.org/drawingml/2006/picture">
                        <pic:nvPicPr>
                          <pic:cNvPr id="1077" name="Picture 1077"/>
                          <pic:cNvPicPr/>
                        </pic:nvPicPr>
                        <pic:blipFill>
                          <a:blip r:embed="rId24"/>
                          <a:stretch>
                            <a:fillRect/>
                          </a:stretch>
                        </pic:blipFill>
                        <pic:spPr>
                          <a:xfrm>
                            <a:off x="0" y="0"/>
                            <a:ext cx="4051299" cy="4149664"/>
                          </a:xfrm>
                          <a:prstGeom prst="rect">
                            <a:avLst/>
                          </a:prstGeom>
                        </pic:spPr>
                      </pic:pic>
                    </a:graphicData>
                  </a:graphic>
                </wp:inline>
              </w:drawing>
            </w:r>
          </w:p>
          <w:p w14:paraId="1A9B9340" w14:textId="77777777" w:rsidR="00F9571B" w:rsidRDefault="001177CA">
            <w:pPr>
              <w:spacing w:after="0" w:line="259" w:lineRule="auto"/>
              <w:ind w:left="957" w:right="0" w:firstLine="0"/>
            </w:pPr>
            <w:r>
              <w:rPr>
                <w:b/>
                <w:sz w:val="17"/>
              </w:rPr>
              <w:t>Figure 2</w:t>
            </w:r>
            <w:r>
              <w:rPr>
                <w:sz w:val="17"/>
              </w:rPr>
              <w:t xml:space="preserve"> </w:t>
            </w:r>
            <w:r>
              <w:rPr>
                <w:color w:val="DEDDDC"/>
                <w:sz w:val="17"/>
              </w:rPr>
              <w:t>|</w:t>
            </w:r>
            <w:r>
              <w:rPr>
                <w:sz w:val="17"/>
              </w:rPr>
              <w:t xml:space="preserve"> Participant flow through the HYVET 2 feasibility study.</w:t>
            </w:r>
          </w:p>
        </w:tc>
      </w:tr>
    </w:tbl>
    <w:p w14:paraId="30E1DC1A" w14:textId="77777777" w:rsidR="00F9571B" w:rsidRDefault="001177CA">
      <w:pPr>
        <w:ind w:left="-5" w:right="0"/>
      </w:pPr>
      <w:r>
        <w:t>Ethics approval has been acquired from Regional Ethics Committee Westminster, London (Reference No: 18/LO/0104) for the trial protocol, informed consent forms and other relevant documents e.g. advertisements and GPs information letters. It is registered on</w:t>
      </w:r>
      <w:r>
        <w:t xml:space="preserve"> ISRCTN (ISRCT No: 13127656). Substantial amendments that require review by REC will not be implemented until the REC grants a </w:t>
      </w:r>
      <w:proofErr w:type="spellStart"/>
      <w:r>
        <w:t>favorable</w:t>
      </w:r>
      <w:proofErr w:type="spellEnd"/>
      <w:r>
        <w:t xml:space="preserve"> opinion for the trial. All correspondence with the REC will be retained in the Trial Master File/Investigator Site File</w:t>
      </w:r>
      <w:r>
        <w:t>.</w:t>
      </w:r>
    </w:p>
    <w:p w14:paraId="63C59D0C" w14:textId="77777777" w:rsidR="00F9571B" w:rsidRDefault="001177CA">
      <w:pPr>
        <w:spacing w:after="482"/>
        <w:ind w:left="-5" w:right="0"/>
      </w:pPr>
      <w:r>
        <w:t>Results of this study will be presented at conferences such as the British and Irish Hypertension Society and the European Society for Hypertension. We also intend to submit articles to peer reviewed journals. In addition, results will be disseminated to</w:t>
      </w:r>
      <w:r>
        <w:t xml:space="preserve"> participants, patients and the general public through the PPI and relevant community groups.</w:t>
      </w:r>
    </w:p>
    <w:p w14:paraId="2F26B9C4" w14:textId="77777777" w:rsidR="00F9571B" w:rsidRDefault="001177CA">
      <w:pPr>
        <w:spacing w:after="122" w:line="259" w:lineRule="auto"/>
        <w:ind w:left="-5" w:right="0"/>
        <w:jc w:val="left"/>
      </w:pPr>
      <w:r>
        <w:rPr>
          <w:rFonts w:ascii="Arial" w:eastAsia="Arial" w:hAnsi="Arial" w:cs="Arial"/>
          <w:b/>
          <w:sz w:val="24"/>
        </w:rPr>
        <w:t>CONFLICTS OF INTEREST</w:t>
      </w:r>
    </w:p>
    <w:p w14:paraId="7BB156F6" w14:textId="77777777" w:rsidR="00F9571B" w:rsidRDefault="001177CA">
      <w:pPr>
        <w:spacing w:after="481"/>
        <w:ind w:left="-5" w:right="0"/>
      </w:pPr>
      <w:r>
        <w:t>NB, CB and CR were part of the HYVET research team.</w:t>
      </w:r>
    </w:p>
    <w:p w14:paraId="5D621580" w14:textId="77777777" w:rsidR="00F9571B" w:rsidRDefault="001177CA">
      <w:pPr>
        <w:pStyle w:val="Heading1"/>
        <w:ind w:left="-5"/>
      </w:pPr>
      <w:r>
        <w:t>AUTHOR’S CONTRIBUTION</w:t>
      </w:r>
    </w:p>
    <w:p w14:paraId="16DFAC57" w14:textId="77777777" w:rsidR="00F9571B" w:rsidRDefault="001177CA">
      <w:pPr>
        <w:ind w:left="-5" w:right="0"/>
      </w:pPr>
      <w:r>
        <w:t xml:space="preserve">MO, KA, SB, NB, SJ, RQ, JP, CB and CR were responsible for study conceptualisation and funding acquisition. NP and CM are responsible for project administration, data curation and formal </w:t>
      </w:r>
      <w:r>
        <w:t>analysis. All authors contributed to preparation of the original draf</w:t>
      </w:r>
      <w:r>
        <w:t>t of this manuscript.</w:t>
      </w:r>
    </w:p>
    <w:p w14:paraId="1DE33B1B" w14:textId="77777777" w:rsidR="00F9571B" w:rsidRDefault="001177CA">
      <w:pPr>
        <w:spacing w:after="122" w:line="259" w:lineRule="auto"/>
        <w:ind w:left="-5" w:right="0"/>
        <w:jc w:val="left"/>
      </w:pPr>
      <w:r>
        <w:rPr>
          <w:rFonts w:ascii="Arial" w:eastAsia="Arial" w:hAnsi="Arial" w:cs="Arial"/>
          <w:b/>
          <w:sz w:val="24"/>
        </w:rPr>
        <w:t>FUNDING</w:t>
      </w:r>
    </w:p>
    <w:p w14:paraId="315F48CF" w14:textId="77777777" w:rsidR="00F9571B" w:rsidRDefault="001177CA">
      <w:pPr>
        <w:spacing w:after="421"/>
        <w:ind w:left="-5" w:right="0"/>
      </w:pPr>
      <w:r>
        <w:t>Dunhill Medical Trust.</w:t>
      </w:r>
    </w:p>
    <w:p w14:paraId="2F790A69" w14:textId="77777777" w:rsidR="00F9571B" w:rsidRDefault="001177CA">
      <w:pPr>
        <w:spacing w:after="122" w:line="259" w:lineRule="auto"/>
        <w:ind w:left="-5" w:right="0"/>
        <w:jc w:val="left"/>
      </w:pPr>
      <w:r>
        <w:rPr>
          <w:rFonts w:ascii="Arial" w:eastAsia="Arial" w:hAnsi="Arial" w:cs="Arial"/>
          <w:b/>
          <w:sz w:val="24"/>
        </w:rPr>
        <w:t>ACKNOWLEDGMENTS</w:t>
      </w:r>
    </w:p>
    <w:p w14:paraId="5191367C" w14:textId="77777777" w:rsidR="00F9571B" w:rsidRDefault="001177CA">
      <w:pPr>
        <w:spacing w:after="461"/>
        <w:ind w:left="-5" w:right="0"/>
      </w:pPr>
      <w:r>
        <w:t>We acknowledge the support provided by the CTU Brighton.</w:t>
      </w:r>
    </w:p>
    <w:p w14:paraId="4AE412CE" w14:textId="77777777" w:rsidR="00F9571B" w:rsidRDefault="001177CA">
      <w:pPr>
        <w:spacing w:after="122" w:line="259" w:lineRule="auto"/>
        <w:ind w:left="-5" w:right="0"/>
        <w:jc w:val="left"/>
      </w:pPr>
      <w:r>
        <w:rPr>
          <w:rFonts w:ascii="Arial" w:eastAsia="Arial" w:hAnsi="Arial" w:cs="Arial"/>
          <w:b/>
          <w:sz w:val="24"/>
        </w:rPr>
        <w:t>ETHICS</w:t>
      </w:r>
    </w:p>
    <w:p w14:paraId="2AB247EC" w14:textId="77777777" w:rsidR="00F9571B" w:rsidRDefault="001177CA">
      <w:pPr>
        <w:spacing w:after="441"/>
        <w:ind w:left="-5" w:right="0"/>
      </w:pPr>
      <w:r>
        <w:t>This trial has full research ethics approval.</w:t>
      </w:r>
    </w:p>
    <w:p w14:paraId="147DEF78" w14:textId="77777777" w:rsidR="00F9571B" w:rsidRDefault="001177CA">
      <w:pPr>
        <w:pStyle w:val="Heading1"/>
        <w:ind w:left="-5"/>
      </w:pPr>
      <w:r>
        <w:t>REFERENCES</w:t>
      </w:r>
    </w:p>
    <w:p w14:paraId="3E58940D" w14:textId="77777777" w:rsidR="00F9571B" w:rsidRDefault="001177CA">
      <w:pPr>
        <w:numPr>
          <w:ilvl w:val="0"/>
          <w:numId w:val="5"/>
        </w:numPr>
        <w:spacing w:after="2" w:line="262" w:lineRule="auto"/>
        <w:ind w:right="-14" w:hanging="400"/>
      </w:pPr>
      <w:r>
        <w:rPr>
          <w:sz w:val="18"/>
        </w:rPr>
        <w:t>World Health Organization (WHO). A global brief on hypertension; 2</w:t>
      </w:r>
      <w:r>
        <w:rPr>
          <w:sz w:val="18"/>
        </w:rPr>
        <w:t>013. Available from: https://www.who.int/cardiovascular_ diseases/publications/</w:t>
      </w:r>
      <w:proofErr w:type="spellStart"/>
      <w:r>
        <w:rPr>
          <w:sz w:val="18"/>
        </w:rPr>
        <w:t>global_brief_hypertension</w:t>
      </w:r>
      <w:proofErr w:type="spellEnd"/>
      <w:r>
        <w:rPr>
          <w:sz w:val="18"/>
        </w:rPr>
        <w:t>/</w:t>
      </w:r>
      <w:proofErr w:type="spellStart"/>
      <w:r>
        <w:rPr>
          <w:sz w:val="18"/>
        </w:rPr>
        <w:t>en</w:t>
      </w:r>
      <w:proofErr w:type="spellEnd"/>
      <w:r>
        <w:rPr>
          <w:sz w:val="18"/>
        </w:rPr>
        <w:t>/ (accessed October 2019).</w:t>
      </w:r>
    </w:p>
    <w:p w14:paraId="67349F2C" w14:textId="77777777" w:rsidR="00F9571B" w:rsidRDefault="001177CA">
      <w:pPr>
        <w:numPr>
          <w:ilvl w:val="0"/>
          <w:numId w:val="5"/>
        </w:numPr>
        <w:spacing w:after="2" w:line="262" w:lineRule="auto"/>
        <w:ind w:right="-14" w:hanging="400"/>
      </w:pPr>
      <w:r>
        <w:rPr>
          <w:sz w:val="18"/>
        </w:rPr>
        <w:t>Health Survey for England; 2015. Available from: https://digital. nhs.uk/data-and-information/publications/statistical/hea</w:t>
      </w:r>
      <w:r>
        <w:rPr>
          <w:sz w:val="18"/>
        </w:rPr>
        <w:t>lthsurvey-for-england/health-survey-for-england-2015-trend- tables (accessed October 2019).</w:t>
      </w:r>
    </w:p>
    <w:p w14:paraId="68CB3CC3" w14:textId="77777777" w:rsidR="00F9571B" w:rsidRDefault="001177CA">
      <w:pPr>
        <w:numPr>
          <w:ilvl w:val="0"/>
          <w:numId w:val="5"/>
        </w:numPr>
        <w:spacing w:after="2" w:line="262" w:lineRule="auto"/>
        <w:ind w:right="-14" w:hanging="400"/>
      </w:pPr>
      <w:r>
        <w:rPr>
          <w:sz w:val="18"/>
        </w:rPr>
        <w:t xml:space="preserve">ONS 2016. Available from: </w:t>
      </w:r>
      <w:hyperlink r:id="rId25">
        <w:r>
          <w:rPr>
            <w:sz w:val="18"/>
          </w:rPr>
          <w:t>https://www.ons.gov.uk/people</w:t>
        </w:r>
      </w:hyperlink>
      <w:hyperlink r:id="rId26">
        <w:r>
          <w:rPr>
            <w:sz w:val="18"/>
          </w:rPr>
          <w:t xml:space="preserve"> </w:t>
        </w:r>
      </w:hyperlink>
      <w:proofErr w:type="spellStart"/>
      <w:r>
        <w:rPr>
          <w:sz w:val="18"/>
        </w:rPr>
        <w:t>populationandcommunity</w:t>
      </w:r>
      <w:proofErr w:type="spellEnd"/>
      <w:r>
        <w:rPr>
          <w:sz w:val="18"/>
        </w:rPr>
        <w:t>/</w:t>
      </w:r>
      <w:proofErr w:type="spellStart"/>
      <w:r>
        <w:rPr>
          <w:sz w:val="18"/>
        </w:rPr>
        <w:t>populationandmigration</w:t>
      </w:r>
      <w:proofErr w:type="spellEnd"/>
      <w:r>
        <w:rPr>
          <w:sz w:val="18"/>
        </w:rPr>
        <w:t>/popu</w:t>
      </w:r>
      <w:r>
        <w:rPr>
          <w:sz w:val="18"/>
        </w:rPr>
        <w:t xml:space="preserve">lation </w:t>
      </w:r>
      <w:r>
        <w:rPr>
          <w:sz w:val="18"/>
        </w:rPr>
        <w:lastRenderedPageBreak/>
        <w:t>projections/compendium/subnationalpopulationprojectionssupplementaryanalysis/2014basedprojections/howthepopulationofenglandisprojectedtoage (accessed November 2019).</w:t>
      </w:r>
    </w:p>
    <w:p w14:paraId="57E7069D" w14:textId="77777777" w:rsidR="00F9571B" w:rsidRDefault="001177CA">
      <w:pPr>
        <w:numPr>
          <w:ilvl w:val="0"/>
          <w:numId w:val="5"/>
        </w:numPr>
        <w:spacing w:after="4"/>
        <w:ind w:right="-14" w:hanging="400"/>
      </w:pPr>
      <w:hyperlink r:id="rId27">
        <w:proofErr w:type="spellStart"/>
        <w:r>
          <w:rPr>
            <w:color w:val="0087BE"/>
            <w:sz w:val="18"/>
          </w:rPr>
          <w:t>Rastas</w:t>
        </w:r>
        <w:proofErr w:type="spellEnd"/>
        <w:r>
          <w:rPr>
            <w:color w:val="0087BE"/>
            <w:sz w:val="18"/>
          </w:rPr>
          <w:t xml:space="preserve"> S, </w:t>
        </w:r>
        <w:proofErr w:type="spellStart"/>
        <w:r>
          <w:rPr>
            <w:color w:val="0087BE"/>
            <w:sz w:val="18"/>
          </w:rPr>
          <w:t>Pirtt</w:t>
        </w:r>
        <w:r>
          <w:rPr>
            <w:color w:val="0087BE"/>
            <w:sz w:val="18"/>
          </w:rPr>
          <w:t>ilä</w:t>
        </w:r>
        <w:proofErr w:type="spellEnd"/>
        <w:r>
          <w:rPr>
            <w:color w:val="0087BE"/>
            <w:sz w:val="18"/>
          </w:rPr>
          <w:t xml:space="preserve"> T, </w:t>
        </w:r>
        <w:proofErr w:type="spellStart"/>
        <w:r>
          <w:rPr>
            <w:color w:val="0087BE"/>
            <w:sz w:val="18"/>
          </w:rPr>
          <w:t>Viramo</w:t>
        </w:r>
        <w:proofErr w:type="spellEnd"/>
        <w:r>
          <w:rPr>
            <w:color w:val="0087BE"/>
            <w:sz w:val="18"/>
          </w:rPr>
          <w:t xml:space="preserve"> P, </w:t>
        </w:r>
        <w:proofErr w:type="spellStart"/>
        <w:r>
          <w:rPr>
            <w:color w:val="0087BE"/>
            <w:sz w:val="18"/>
          </w:rPr>
          <w:t>Verkkoniemi</w:t>
        </w:r>
        <w:proofErr w:type="spellEnd"/>
        <w:r>
          <w:rPr>
            <w:color w:val="0087BE"/>
            <w:sz w:val="18"/>
          </w:rPr>
          <w:t xml:space="preserve"> A, </w:t>
        </w:r>
        <w:proofErr w:type="spellStart"/>
        <w:r>
          <w:rPr>
            <w:color w:val="0087BE"/>
            <w:sz w:val="18"/>
          </w:rPr>
          <w:t>Halonen</w:t>
        </w:r>
        <w:proofErr w:type="spellEnd"/>
        <w:r>
          <w:rPr>
            <w:color w:val="0087BE"/>
            <w:sz w:val="18"/>
          </w:rPr>
          <w:t xml:space="preserve"> P,</w:t>
        </w:r>
      </w:hyperlink>
      <w:hyperlink r:id="rId28">
        <w:r>
          <w:rPr>
            <w:color w:val="0087BE"/>
            <w:sz w:val="18"/>
          </w:rPr>
          <w:t xml:space="preserve"> </w:t>
        </w:r>
      </w:hyperlink>
      <w:hyperlink r:id="rId29">
        <w:proofErr w:type="spellStart"/>
        <w:r>
          <w:rPr>
            <w:color w:val="0087BE"/>
            <w:sz w:val="18"/>
          </w:rPr>
          <w:t>Juva</w:t>
        </w:r>
        <w:proofErr w:type="spellEnd"/>
        <w:r>
          <w:rPr>
            <w:color w:val="0087BE"/>
            <w:sz w:val="18"/>
          </w:rPr>
          <w:t xml:space="preserve"> K, et al. Association between blood pressure and survival</w:t>
        </w:r>
      </w:hyperlink>
      <w:r>
        <w:rPr>
          <w:color w:val="0087BE"/>
          <w:sz w:val="18"/>
        </w:rPr>
        <w:t xml:space="preserve"> </w:t>
      </w:r>
      <w:hyperlink r:id="rId30">
        <w:r>
          <w:rPr>
            <w:color w:val="0087BE"/>
            <w:sz w:val="18"/>
          </w:rPr>
          <w:t>over 9 years in a general population aged 85 and older. J Am</w:t>
        </w:r>
      </w:hyperlink>
      <w:r>
        <w:rPr>
          <w:color w:val="0087BE"/>
          <w:sz w:val="18"/>
        </w:rPr>
        <w:t xml:space="preserve"> </w:t>
      </w:r>
      <w:hyperlink r:id="rId31">
        <w:proofErr w:type="spellStart"/>
        <w:r>
          <w:rPr>
            <w:color w:val="0087BE"/>
            <w:sz w:val="18"/>
          </w:rPr>
          <w:t>Geriatr</w:t>
        </w:r>
        <w:proofErr w:type="spellEnd"/>
        <w:r>
          <w:rPr>
            <w:color w:val="0087BE"/>
            <w:sz w:val="18"/>
          </w:rPr>
          <w:t xml:space="preserve"> </w:t>
        </w:r>
        <w:proofErr w:type="spellStart"/>
        <w:r>
          <w:rPr>
            <w:color w:val="0087BE"/>
            <w:sz w:val="18"/>
          </w:rPr>
          <w:t>Soc</w:t>
        </w:r>
        <w:proofErr w:type="spellEnd"/>
        <w:r>
          <w:rPr>
            <w:color w:val="0087BE"/>
            <w:sz w:val="18"/>
          </w:rPr>
          <w:t xml:space="preserve"> 2006</w:t>
        </w:r>
        <w:proofErr w:type="gramStart"/>
        <w:r>
          <w:rPr>
            <w:color w:val="0087BE"/>
            <w:sz w:val="18"/>
          </w:rPr>
          <w:t>;54:912</w:t>
        </w:r>
        <w:proofErr w:type="gramEnd"/>
        <w:r>
          <w:rPr>
            <w:color w:val="0087BE"/>
            <w:sz w:val="18"/>
          </w:rPr>
          <w:t>–18.</w:t>
        </w:r>
      </w:hyperlink>
    </w:p>
    <w:p w14:paraId="54F5A5F3" w14:textId="77777777" w:rsidR="00F9571B" w:rsidRDefault="001177CA">
      <w:pPr>
        <w:numPr>
          <w:ilvl w:val="0"/>
          <w:numId w:val="5"/>
        </w:numPr>
        <w:spacing w:after="4"/>
        <w:ind w:right="-14" w:hanging="400"/>
      </w:pPr>
      <w:hyperlink r:id="rId32">
        <w:proofErr w:type="spellStart"/>
        <w:r>
          <w:rPr>
            <w:color w:val="0087BE"/>
            <w:sz w:val="18"/>
          </w:rPr>
          <w:t>Hakala</w:t>
        </w:r>
        <w:proofErr w:type="spellEnd"/>
        <w:r>
          <w:rPr>
            <w:color w:val="0087BE"/>
            <w:sz w:val="18"/>
          </w:rPr>
          <w:t xml:space="preserve"> SM, </w:t>
        </w:r>
        <w:proofErr w:type="spellStart"/>
        <w:r>
          <w:rPr>
            <w:color w:val="0087BE"/>
            <w:sz w:val="18"/>
          </w:rPr>
          <w:t>Tilvis</w:t>
        </w:r>
        <w:proofErr w:type="spellEnd"/>
        <w:r>
          <w:rPr>
            <w:color w:val="0087BE"/>
            <w:sz w:val="18"/>
          </w:rPr>
          <w:t xml:space="preserve"> RS, </w:t>
        </w:r>
        <w:proofErr w:type="spellStart"/>
        <w:r>
          <w:rPr>
            <w:color w:val="0087BE"/>
            <w:sz w:val="18"/>
          </w:rPr>
          <w:t>Strandberg</w:t>
        </w:r>
        <w:proofErr w:type="spellEnd"/>
        <w:r>
          <w:rPr>
            <w:color w:val="0087BE"/>
            <w:sz w:val="18"/>
          </w:rPr>
          <w:t xml:space="preserve"> TE. Blood pressure and </w:t>
        </w:r>
        <w:proofErr w:type="gramStart"/>
        <w:r>
          <w:rPr>
            <w:color w:val="0087BE"/>
            <w:sz w:val="18"/>
          </w:rPr>
          <w:t>mor</w:t>
        </w:r>
        <w:proofErr w:type="gramEnd"/>
      </w:hyperlink>
      <w:hyperlink r:id="rId33"/>
      <w:hyperlink r:id="rId34">
        <w:r>
          <w:rPr>
            <w:color w:val="0087BE"/>
            <w:sz w:val="18"/>
          </w:rPr>
          <w:t>tality in an o</w:t>
        </w:r>
        <w:r>
          <w:rPr>
            <w:color w:val="0087BE"/>
            <w:sz w:val="18"/>
          </w:rPr>
          <w:t xml:space="preserve">lder population: a 5-year follow-up of the Helsinki </w:t>
        </w:r>
      </w:hyperlink>
      <w:hyperlink r:id="rId35">
        <w:r>
          <w:rPr>
            <w:color w:val="0087BE"/>
            <w:sz w:val="18"/>
          </w:rPr>
          <w:t xml:space="preserve">Ageing Study. </w:t>
        </w:r>
        <w:proofErr w:type="spellStart"/>
        <w:r>
          <w:rPr>
            <w:color w:val="0087BE"/>
            <w:sz w:val="18"/>
          </w:rPr>
          <w:t>Eur</w:t>
        </w:r>
        <w:proofErr w:type="spellEnd"/>
        <w:r>
          <w:rPr>
            <w:color w:val="0087BE"/>
            <w:sz w:val="18"/>
          </w:rPr>
          <w:t xml:space="preserve"> Heart J 1997</w:t>
        </w:r>
        <w:proofErr w:type="gramStart"/>
        <w:r>
          <w:rPr>
            <w:color w:val="0087BE"/>
            <w:sz w:val="18"/>
          </w:rPr>
          <w:t>;18:1019</w:t>
        </w:r>
        <w:proofErr w:type="gramEnd"/>
        <w:r>
          <w:rPr>
            <w:color w:val="0087BE"/>
            <w:sz w:val="18"/>
          </w:rPr>
          <w:t>–23.</w:t>
        </w:r>
      </w:hyperlink>
    </w:p>
    <w:p w14:paraId="6EEC5136" w14:textId="77777777" w:rsidR="00F9571B" w:rsidRDefault="001177CA">
      <w:pPr>
        <w:numPr>
          <w:ilvl w:val="0"/>
          <w:numId w:val="5"/>
        </w:numPr>
        <w:spacing w:after="4"/>
        <w:ind w:right="-14" w:hanging="400"/>
      </w:pPr>
      <w:hyperlink r:id="rId36">
        <w:r>
          <w:rPr>
            <w:color w:val="0087BE"/>
            <w:sz w:val="18"/>
          </w:rPr>
          <w:t xml:space="preserve">Satish S, Freeman DH, Ray L, Goodwin JS. The relationship </w:t>
        </w:r>
      </w:hyperlink>
      <w:hyperlink r:id="rId37">
        <w:r>
          <w:rPr>
            <w:color w:val="0087BE"/>
            <w:sz w:val="18"/>
          </w:rPr>
          <w:t xml:space="preserve">between blood pressure and mortality in the oldest old. J Am </w:t>
        </w:r>
      </w:hyperlink>
      <w:hyperlink r:id="rId38">
        <w:proofErr w:type="spellStart"/>
        <w:r>
          <w:rPr>
            <w:color w:val="0087BE"/>
            <w:sz w:val="18"/>
          </w:rPr>
          <w:t>G</w:t>
        </w:r>
        <w:r>
          <w:rPr>
            <w:color w:val="0087BE"/>
            <w:sz w:val="18"/>
          </w:rPr>
          <w:t>eriatr</w:t>
        </w:r>
        <w:proofErr w:type="spellEnd"/>
        <w:r>
          <w:rPr>
            <w:color w:val="0087BE"/>
            <w:sz w:val="18"/>
          </w:rPr>
          <w:t xml:space="preserve"> </w:t>
        </w:r>
        <w:proofErr w:type="spellStart"/>
        <w:r>
          <w:rPr>
            <w:color w:val="0087BE"/>
            <w:sz w:val="18"/>
          </w:rPr>
          <w:t>Soc</w:t>
        </w:r>
        <w:proofErr w:type="spellEnd"/>
        <w:r>
          <w:rPr>
            <w:color w:val="0087BE"/>
            <w:sz w:val="18"/>
          </w:rPr>
          <w:t xml:space="preserve"> 2001</w:t>
        </w:r>
        <w:proofErr w:type="gramStart"/>
        <w:r>
          <w:rPr>
            <w:color w:val="0087BE"/>
            <w:sz w:val="18"/>
          </w:rPr>
          <w:t>;49:367</w:t>
        </w:r>
        <w:proofErr w:type="gramEnd"/>
        <w:r>
          <w:rPr>
            <w:color w:val="0087BE"/>
            <w:sz w:val="18"/>
          </w:rPr>
          <w:t>–74.</w:t>
        </w:r>
      </w:hyperlink>
    </w:p>
    <w:p w14:paraId="7AF48112" w14:textId="77777777" w:rsidR="00F9571B" w:rsidRDefault="001177CA">
      <w:pPr>
        <w:numPr>
          <w:ilvl w:val="0"/>
          <w:numId w:val="5"/>
        </w:numPr>
        <w:spacing w:after="4"/>
        <w:ind w:right="-14" w:hanging="400"/>
      </w:pPr>
      <w:hyperlink r:id="rId39">
        <w:r>
          <w:rPr>
            <w:color w:val="0087BE"/>
            <w:sz w:val="18"/>
          </w:rPr>
          <w:t xml:space="preserve">Beckett NS, Peters R, Fletcher AE, </w:t>
        </w:r>
        <w:proofErr w:type="spellStart"/>
        <w:r>
          <w:rPr>
            <w:color w:val="0087BE"/>
            <w:sz w:val="18"/>
          </w:rPr>
          <w:t>Staessen</w:t>
        </w:r>
        <w:proofErr w:type="spellEnd"/>
        <w:r>
          <w:rPr>
            <w:color w:val="0087BE"/>
            <w:sz w:val="18"/>
          </w:rPr>
          <w:t xml:space="preserve"> JA, Liu L, </w:t>
        </w:r>
        <w:proofErr w:type="spellStart"/>
        <w:r>
          <w:rPr>
            <w:color w:val="0087BE"/>
            <w:sz w:val="18"/>
          </w:rPr>
          <w:t>Dumitrascu</w:t>
        </w:r>
        <w:proofErr w:type="spellEnd"/>
        <w:r>
          <w:rPr>
            <w:color w:val="0087BE"/>
            <w:sz w:val="18"/>
          </w:rPr>
          <w:t xml:space="preserve"> D,</w:t>
        </w:r>
      </w:hyperlink>
      <w:hyperlink r:id="rId40">
        <w:r>
          <w:rPr>
            <w:color w:val="0087BE"/>
            <w:sz w:val="18"/>
          </w:rPr>
          <w:t xml:space="preserve"> </w:t>
        </w:r>
      </w:hyperlink>
      <w:hyperlink r:id="rId41">
        <w:r>
          <w:rPr>
            <w:color w:val="0087BE"/>
            <w:sz w:val="18"/>
          </w:rPr>
          <w:t xml:space="preserve">et al. Treatment of hypertension in patients 80 years of age or </w:t>
        </w:r>
      </w:hyperlink>
      <w:hyperlink r:id="rId42">
        <w:r>
          <w:rPr>
            <w:color w:val="0087BE"/>
            <w:sz w:val="18"/>
          </w:rPr>
          <w:t xml:space="preserve">older. N </w:t>
        </w:r>
        <w:proofErr w:type="spellStart"/>
        <w:r>
          <w:rPr>
            <w:color w:val="0087BE"/>
            <w:sz w:val="18"/>
          </w:rPr>
          <w:t>Engl</w:t>
        </w:r>
        <w:proofErr w:type="spellEnd"/>
        <w:r>
          <w:rPr>
            <w:color w:val="0087BE"/>
            <w:sz w:val="18"/>
          </w:rPr>
          <w:t xml:space="preserve"> J Med 2008</w:t>
        </w:r>
        <w:proofErr w:type="gramStart"/>
        <w:r>
          <w:rPr>
            <w:color w:val="0087BE"/>
            <w:sz w:val="18"/>
          </w:rPr>
          <w:t>;358:1887</w:t>
        </w:r>
        <w:proofErr w:type="gramEnd"/>
        <w:r>
          <w:rPr>
            <w:color w:val="0087BE"/>
            <w:sz w:val="18"/>
          </w:rPr>
          <w:t>–98.</w:t>
        </w:r>
      </w:hyperlink>
    </w:p>
    <w:p w14:paraId="11088481" w14:textId="77777777" w:rsidR="00F9571B" w:rsidRDefault="001177CA">
      <w:pPr>
        <w:numPr>
          <w:ilvl w:val="0"/>
          <w:numId w:val="5"/>
        </w:numPr>
        <w:spacing w:after="4"/>
        <w:ind w:right="-14" w:hanging="400"/>
      </w:pPr>
      <w:hyperlink r:id="rId43">
        <w:proofErr w:type="spellStart"/>
        <w:r>
          <w:rPr>
            <w:color w:val="0087BE"/>
            <w:sz w:val="18"/>
          </w:rPr>
          <w:t>Fagard</w:t>
        </w:r>
        <w:proofErr w:type="spellEnd"/>
        <w:r>
          <w:rPr>
            <w:color w:val="0087BE"/>
            <w:sz w:val="18"/>
          </w:rPr>
          <w:t xml:space="preserve"> R</w:t>
        </w:r>
        <w:r>
          <w:rPr>
            <w:color w:val="0087BE"/>
            <w:sz w:val="18"/>
          </w:rPr>
          <w:t xml:space="preserve">H, </w:t>
        </w:r>
        <w:proofErr w:type="spellStart"/>
        <w:r>
          <w:rPr>
            <w:color w:val="0087BE"/>
            <w:sz w:val="18"/>
          </w:rPr>
          <w:t>Staessen</w:t>
        </w:r>
        <w:proofErr w:type="spellEnd"/>
        <w:r>
          <w:rPr>
            <w:color w:val="0087BE"/>
            <w:sz w:val="18"/>
          </w:rPr>
          <w:t xml:space="preserve"> JA, Thijs L, </w:t>
        </w:r>
        <w:proofErr w:type="spellStart"/>
        <w:r>
          <w:rPr>
            <w:color w:val="0087BE"/>
            <w:sz w:val="18"/>
          </w:rPr>
          <w:t>Gasowski</w:t>
        </w:r>
        <w:proofErr w:type="spellEnd"/>
        <w:r>
          <w:rPr>
            <w:color w:val="0087BE"/>
            <w:sz w:val="18"/>
          </w:rPr>
          <w:t xml:space="preserve"> J, </w:t>
        </w:r>
        <w:proofErr w:type="spellStart"/>
        <w:r>
          <w:rPr>
            <w:color w:val="0087BE"/>
            <w:sz w:val="18"/>
          </w:rPr>
          <w:t>Bulpitt</w:t>
        </w:r>
        <w:proofErr w:type="spellEnd"/>
        <w:r>
          <w:rPr>
            <w:color w:val="0087BE"/>
            <w:sz w:val="18"/>
          </w:rPr>
          <w:t xml:space="preserve"> CJ, </w:t>
        </w:r>
      </w:hyperlink>
      <w:hyperlink r:id="rId44">
        <w:r>
          <w:rPr>
            <w:color w:val="0087BE"/>
            <w:sz w:val="18"/>
          </w:rPr>
          <w:t>Clement D, et al. Response to antihypertensive therapy in older</w:t>
        </w:r>
      </w:hyperlink>
      <w:r>
        <w:rPr>
          <w:color w:val="0087BE"/>
          <w:sz w:val="18"/>
        </w:rPr>
        <w:t xml:space="preserve"> </w:t>
      </w:r>
      <w:hyperlink r:id="rId45">
        <w:r>
          <w:rPr>
            <w:color w:val="0087BE"/>
            <w:sz w:val="18"/>
          </w:rPr>
          <w:t xml:space="preserve">patients with sustained and </w:t>
        </w:r>
        <w:proofErr w:type="spellStart"/>
        <w:r>
          <w:rPr>
            <w:color w:val="0087BE"/>
            <w:sz w:val="18"/>
          </w:rPr>
          <w:t>nonsustained</w:t>
        </w:r>
        <w:proofErr w:type="spellEnd"/>
        <w:r>
          <w:rPr>
            <w:color w:val="0087BE"/>
            <w:sz w:val="18"/>
          </w:rPr>
          <w:t xml:space="preserve"> systolic hypertension. </w:t>
        </w:r>
      </w:hyperlink>
      <w:hyperlink r:id="rId46">
        <w:r>
          <w:rPr>
            <w:color w:val="0087BE"/>
            <w:sz w:val="18"/>
          </w:rPr>
          <w:t>Systolic Hypertension in Europe (</w:t>
        </w:r>
        <w:proofErr w:type="spellStart"/>
        <w:r>
          <w:rPr>
            <w:color w:val="0087BE"/>
            <w:sz w:val="18"/>
          </w:rPr>
          <w:t>Syst-Eur</w:t>
        </w:r>
        <w:proofErr w:type="spellEnd"/>
        <w:r>
          <w:rPr>
            <w:color w:val="0087BE"/>
            <w:sz w:val="18"/>
          </w:rPr>
          <w:t xml:space="preserve">) Trial Investigators. </w:t>
        </w:r>
      </w:hyperlink>
      <w:hyperlink r:id="rId47">
        <w:r>
          <w:rPr>
            <w:color w:val="0087BE"/>
            <w:sz w:val="18"/>
          </w:rPr>
          <w:t>Circulation 2000</w:t>
        </w:r>
        <w:proofErr w:type="gramStart"/>
        <w:r>
          <w:rPr>
            <w:color w:val="0087BE"/>
            <w:sz w:val="18"/>
          </w:rPr>
          <w:t>;102:1139</w:t>
        </w:r>
        <w:proofErr w:type="gramEnd"/>
        <w:r>
          <w:rPr>
            <w:color w:val="0087BE"/>
            <w:sz w:val="18"/>
          </w:rPr>
          <w:t>–44.</w:t>
        </w:r>
      </w:hyperlink>
    </w:p>
    <w:p w14:paraId="0ED0112C" w14:textId="77777777" w:rsidR="00F9571B" w:rsidRDefault="001177CA">
      <w:pPr>
        <w:numPr>
          <w:ilvl w:val="0"/>
          <w:numId w:val="5"/>
        </w:numPr>
        <w:spacing w:after="4"/>
        <w:ind w:right="-14" w:hanging="400"/>
      </w:pPr>
      <w:hyperlink r:id="rId48">
        <w:r>
          <w:rPr>
            <w:color w:val="0087BE"/>
            <w:sz w:val="18"/>
          </w:rPr>
          <w:t xml:space="preserve">Williamson JD, </w:t>
        </w:r>
        <w:proofErr w:type="spellStart"/>
        <w:r>
          <w:rPr>
            <w:color w:val="0087BE"/>
            <w:sz w:val="18"/>
          </w:rPr>
          <w:t>Supiano</w:t>
        </w:r>
        <w:proofErr w:type="spellEnd"/>
        <w:r>
          <w:rPr>
            <w:color w:val="0087BE"/>
            <w:sz w:val="18"/>
          </w:rPr>
          <w:t xml:space="preserve"> MA, Applegate WB, </w:t>
        </w:r>
        <w:proofErr w:type="spellStart"/>
        <w:r>
          <w:rPr>
            <w:color w:val="0087BE"/>
            <w:sz w:val="18"/>
          </w:rPr>
          <w:t>Berlowitz</w:t>
        </w:r>
        <w:proofErr w:type="spellEnd"/>
        <w:r>
          <w:rPr>
            <w:color w:val="0087BE"/>
            <w:sz w:val="18"/>
          </w:rPr>
          <w:t xml:space="preserve"> DR,</w:t>
        </w:r>
      </w:hyperlink>
      <w:r>
        <w:rPr>
          <w:color w:val="0087BE"/>
          <w:sz w:val="18"/>
        </w:rPr>
        <w:t xml:space="preserve"> </w:t>
      </w:r>
      <w:hyperlink r:id="rId49">
        <w:r>
          <w:rPr>
            <w:color w:val="0087BE"/>
            <w:sz w:val="18"/>
          </w:rPr>
          <w:t xml:space="preserve">Campbell RC, </w:t>
        </w:r>
        <w:proofErr w:type="spellStart"/>
        <w:r>
          <w:rPr>
            <w:color w:val="0087BE"/>
            <w:sz w:val="18"/>
          </w:rPr>
          <w:t>C</w:t>
        </w:r>
        <w:r>
          <w:rPr>
            <w:color w:val="0087BE"/>
            <w:sz w:val="18"/>
          </w:rPr>
          <w:t>hertow</w:t>
        </w:r>
        <w:proofErr w:type="spellEnd"/>
        <w:r>
          <w:rPr>
            <w:color w:val="0087BE"/>
            <w:sz w:val="18"/>
          </w:rPr>
          <w:t xml:space="preserve"> GM, et al. Intensive vs standard</w:t>
        </w:r>
      </w:hyperlink>
      <w:r>
        <w:rPr>
          <w:color w:val="0087BE"/>
          <w:sz w:val="18"/>
        </w:rPr>
        <w:t xml:space="preserve"> </w:t>
      </w:r>
      <w:hyperlink r:id="rId50">
        <w:r>
          <w:rPr>
            <w:color w:val="0087BE"/>
            <w:sz w:val="18"/>
          </w:rPr>
          <w:t>blood pressure control and cardiovascular disease outcomes</w:t>
        </w:r>
      </w:hyperlink>
      <w:r>
        <w:rPr>
          <w:color w:val="0087BE"/>
          <w:sz w:val="18"/>
        </w:rPr>
        <w:t xml:space="preserve"> </w:t>
      </w:r>
      <w:hyperlink r:id="rId51">
        <w:r>
          <w:rPr>
            <w:color w:val="0087BE"/>
            <w:sz w:val="18"/>
          </w:rPr>
          <w:t xml:space="preserve">in adults aged </w:t>
        </w:r>
      </w:hyperlink>
      <w:hyperlink r:id="rId52">
        <w:r>
          <w:rPr>
            <w:rFonts w:ascii="Segoe UI Symbol" w:eastAsia="Segoe UI Symbol" w:hAnsi="Segoe UI Symbol" w:cs="Segoe UI Symbol"/>
            <w:color w:val="0087BE"/>
            <w:sz w:val="18"/>
          </w:rPr>
          <w:t>≥</w:t>
        </w:r>
      </w:hyperlink>
      <w:hyperlink r:id="rId53">
        <w:r>
          <w:rPr>
            <w:color w:val="0087BE"/>
            <w:sz w:val="18"/>
          </w:rPr>
          <w:t xml:space="preserve">75 years: a randomized clinical trial. JAMA </w:t>
        </w:r>
      </w:hyperlink>
      <w:hyperlink r:id="rId54">
        <w:r>
          <w:rPr>
            <w:color w:val="0087BE"/>
            <w:sz w:val="18"/>
          </w:rPr>
          <w:t>2016</w:t>
        </w:r>
        <w:proofErr w:type="gramStart"/>
        <w:r>
          <w:rPr>
            <w:color w:val="0087BE"/>
            <w:sz w:val="18"/>
          </w:rPr>
          <w:t>;315:2673</w:t>
        </w:r>
        <w:proofErr w:type="gramEnd"/>
        <w:r>
          <w:rPr>
            <w:color w:val="0087BE"/>
            <w:sz w:val="18"/>
          </w:rPr>
          <w:t>–82.</w:t>
        </w:r>
      </w:hyperlink>
    </w:p>
    <w:p w14:paraId="5F2F8353" w14:textId="77777777" w:rsidR="00F9571B" w:rsidRDefault="001177CA">
      <w:pPr>
        <w:numPr>
          <w:ilvl w:val="0"/>
          <w:numId w:val="5"/>
        </w:numPr>
        <w:spacing w:after="2" w:line="262" w:lineRule="auto"/>
        <w:ind w:right="-14" w:hanging="400"/>
      </w:pPr>
      <w:r>
        <w:rPr>
          <w:sz w:val="18"/>
        </w:rPr>
        <w:t xml:space="preserve">NICE hypertension guideline. 2019. Available </w:t>
      </w:r>
      <w:r>
        <w:rPr>
          <w:sz w:val="18"/>
        </w:rPr>
        <w:t>from: https://www. nice.org.uk/guidance/ng136/evidence/full-guideline-august- 2011-6898565197</w:t>
      </w:r>
      <w:proofErr w:type="gramStart"/>
      <w:r>
        <w:rPr>
          <w:sz w:val="18"/>
        </w:rPr>
        <w:t>?tab</w:t>
      </w:r>
      <w:proofErr w:type="gramEnd"/>
      <w:r>
        <w:rPr>
          <w:sz w:val="18"/>
        </w:rPr>
        <w:t>=evidence (accessed November 2019).</w:t>
      </w:r>
    </w:p>
    <w:p w14:paraId="3CCDE5CA" w14:textId="77777777" w:rsidR="00F9571B" w:rsidRDefault="001177CA">
      <w:pPr>
        <w:numPr>
          <w:ilvl w:val="0"/>
          <w:numId w:val="5"/>
        </w:numPr>
        <w:spacing w:after="4"/>
        <w:ind w:right="-14" w:hanging="400"/>
      </w:pPr>
      <w:hyperlink r:id="rId55">
        <w:r>
          <w:rPr>
            <w:color w:val="0087BE"/>
            <w:sz w:val="18"/>
          </w:rPr>
          <w:t xml:space="preserve">Williams B, </w:t>
        </w:r>
        <w:proofErr w:type="spellStart"/>
        <w:r>
          <w:rPr>
            <w:color w:val="0087BE"/>
            <w:sz w:val="18"/>
          </w:rPr>
          <w:t>Mancia</w:t>
        </w:r>
        <w:proofErr w:type="spellEnd"/>
        <w:r>
          <w:rPr>
            <w:color w:val="0087BE"/>
            <w:sz w:val="18"/>
          </w:rPr>
          <w:t xml:space="preserve"> G, </w:t>
        </w:r>
        <w:proofErr w:type="spellStart"/>
        <w:r>
          <w:rPr>
            <w:color w:val="0087BE"/>
            <w:sz w:val="18"/>
          </w:rPr>
          <w:t>Spiering</w:t>
        </w:r>
        <w:proofErr w:type="spellEnd"/>
        <w:r>
          <w:rPr>
            <w:color w:val="0087BE"/>
            <w:sz w:val="18"/>
          </w:rPr>
          <w:t xml:space="preserve"> W, </w:t>
        </w:r>
        <w:proofErr w:type="spellStart"/>
        <w:r>
          <w:rPr>
            <w:color w:val="0087BE"/>
            <w:sz w:val="18"/>
          </w:rPr>
          <w:t>Agabiti</w:t>
        </w:r>
        <w:proofErr w:type="spellEnd"/>
        <w:r>
          <w:rPr>
            <w:color w:val="0087BE"/>
            <w:sz w:val="18"/>
          </w:rPr>
          <w:t xml:space="preserve"> </w:t>
        </w:r>
        <w:proofErr w:type="spellStart"/>
        <w:r>
          <w:rPr>
            <w:color w:val="0087BE"/>
            <w:sz w:val="18"/>
          </w:rPr>
          <w:t>Rosei</w:t>
        </w:r>
        <w:proofErr w:type="spellEnd"/>
        <w:r>
          <w:rPr>
            <w:color w:val="0087BE"/>
            <w:sz w:val="18"/>
          </w:rPr>
          <w:t xml:space="preserve"> E, </w:t>
        </w:r>
        <w:proofErr w:type="spellStart"/>
        <w:r>
          <w:rPr>
            <w:color w:val="0087BE"/>
            <w:sz w:val="18"/>
          </w:rPr>
          <w:t>Azizi</w:t>
        </w:r>
        <w:proofErr w:type="spellEnd"/>
        <w:r>
          <w:rPr>
            <w:color w:val="0087BE"/>
            <w:sz w:val="18"/>
          </w:rPr>
          <w:t xml:space="preserve"> M, </w:t>
        </w:r>
      </w:hyperlink>
      <w:hyperlink r:id="rId56">
        <w:proofErr w:type="spellStart"/>
        <w:r>
          <w:rPr>
            <w:color w:val="0087BE"/>
            <w:sz w:val="18"/>
          </w:rPr>
          <w:t>Burnier</w:t>
        </w:r>
        <w:proofErr w:type="spellEnd"/>
        <w:r>
          <w:rPr>
            <w:color w:val="0087BE"/>
            <w:sz w:val="18"/>
          </w:rPr>
          <w:t xml:space="preserve"> M, et al. 2018 ESC/ESH Guidelines for the management </w:t>
        </w:r>
      </w:hyperlink>
      <w:hyperlink r:id="rId57">
        <w:r>
          <w:rPr>
            <w:color w:val="0087BE"/>
            <w:sz w:val="18"/>
          </w:rPr>
          <w:t xml:space="preserve">of arterial hypertension. </w:t>
        </w:r>
        <w:proofErr w:type="spellStart"/>
        <w:r>
          <w:rPr>
            <w:color w:val="0087BE"/>
            <w:sz w:val="18"/>
          </w:rPr>
          <w:t>Eur</w:t>
        </w:r>
        <w:proofErr w:type="spellEnd"/>
        <w:r>
          <w:rPr>
            <w:color w:val="0087BE"/>
            <w:sz w:val="18"/>
          </w:rPr>
          <w:t xml:space="preserve"> Heart J 2018</w:t>
        </w:r>
        <w:proofErr w:type="gramStart"/>
        <w:r>
          <w:rPr>
            <w:color w:val="0087BE"/>
            <w:sz w:val="18"/>
          </w:rPr>
          <w:t>;39:3021</w:t>
        </w:r>
        <w:proofErr w:type="gramEnd"/>
        <w:r>
          <w:rPr>
            <w:color w:val="0087BE"/>
            <w:sz w:val="18"/>
          </w:rPr>
          <w:t>–104.</w:t>
        </w:r>
      </w:hyperlink>
    </w:p>
    <w:p w14:paraId="41F539AB" w14:textId="77777777" w:rsidR="00F9571B" w:rsidRDefault="001177CA">
      <w:pPr>
        <w:numPr>
          <w:ilvl w:val="0"/>
          <w:numId w:val="5"/>
        </w:numPr>
        <w:spacing w:after="4"/>
        <w:ind w:right="-14" w:hanging="400"/>
      </w:pPr>
      <w:hyperlink r:id="rId58">
        <w:proofErr w:type="spellStart"/>
        <w:r>
          <w:rPr>
            <w:color w:val="0087BE"/>
            <w:sz w:val="18"/>
          </w:rPr>
          <w:t>Whelton</w:t>
        </w:r>
        <w:proofErr w:type="spellEnd"/>
        <w:r>
          <w:rPr>
            <w:color w:val="0087BE"/>
            <w:sz w:val="18"/>
          </w:rPr>
          <w:t xml:space="preserve"> PK, Carey RM, </w:t>
        </w:r>
        <w:proofErr w:type="spellStart"/>
        <w:r>
          <w:rPr>
            <w:color w:val="0087BE"/>
            <w:sz w:val="18"/>
          </w:rPr>
          <w:t>Aronow</w:t>
        </w:r>
        <w:proofErr w:type="spellEnd"/>
        <w:r>
          <w:rPr>
            <w:color w:val="0087BE"/>
            <w:sz w:val="18"/>
          </w:rPr>
          <w:t xml:space="preserve"> WS, Casey DE, Collins KJ,</w:t>
        </w:r>
      </w:hyperlink>
      <w:r>
        <w:rPr>
          <w:color w:val="0087BE"/>
          <w:sz w:val="18"/>
        </w:rPr>
        <w:t xml:space="preserve"> </w:t>
      </w:r>
    </w:p>
    <w:p w14:paraId="77B2334E" w14:textId="77777777" w:rsidR="00F9571B" w:rsidRDefault="001177CA">
      <w:pPr>
        <w:spacing w:after="4"/>
        <w:ind w:left="400" w:right="-14" w:firstLine="0"/>
      </w:pPr>
      <w:hyperlink r:id="rId59">
        <w:r>
          <w:rPr>
            <w:color w:val="0087BE"/>
            <w:sz w:val="18"/>
          </w:rPr>
          <w:t xml:space="preserve">Dennison </w:t>
        </w:r>
        <w:proofErr w:type="spellStart"/>
        <w:r>
          <w:rPr>
            <w:color w:val="0087BE"/>
            <w:sz w:val="18"/>
          </w:rPr>
          <w:t>Himmelfarb</w:t>
        </w:r>
        <w:proofErr w:type="spellEnd"/>
        <w:r>
          <w:rPr>
            <w:color w:val="0087BE"/>
            <w:sz w:val="18"/>
          </w:rPr>
          <w:t xml:space="preserve"> C, et al. 2017 ACC/AHA/AAPA/ABC/ </w:t>
        </w:r>
      </w:hyperlink>
      <w:hyperlink r:id="rId60">
        <w:r>
          <w:rPr>
            <w:color w:val="0087BE"/>
            <w:sz w:val="18"/>
          </w:rPr>
          <w:t>ACPM/AGS/</w:t>
        </w:r>
        <w:proofErr w:type="spellStart"/>
        <w:r>
          <w:rPr>
            <w:color w:val="0087BE"/>
            <w:sz w:val="18"/>
          </w:rPr>
          <w:t>APhA</w:t>
        </w:r>
        <w:proofErr w:type="spellEnd"/>
        <w:r>
          <w:rPr>
            <w:color w:val="0087BE"/>
            <w:sz w:val="18"/>
          </w:rPr>
          <w:t>/ASH/ASPC/NMA/PCNA guideline for the</w:t>
        </w:r>
      </w:hyperlink>
      <w:r>
        <w:rPr>
          <w:color w:val="0087BE"/>
          <w:sz w:val="18"/>
        </w:rPr>
        <w:t xml:space="preserve"> </w:t>
      </w:r>
      <w:hyperlink r:id="rId61">
        <w:r>
          <w:rPr>
            <w:color w:val="0087BE"/>
            <w:sz w:val="18"/>
          </w:rPr>
          <w:t>prevention, detection, evaluation, and management of high blood</w:t>
        </w:r>
      </w:hyperlink>
      <w:r>
        <w:rPr>
          <w:color w:val="0087BE"/>
          <w:sz w:val="18"/>
        </w:rPr>
        <w:t xml:space="preserve"> </w:t>
      </w:r>
      <w:hyperlink r:id="rId62">
        <w:r>
          <w:rPr>
            <w:color w:val="0087BE"/>
            <w:sz w:val="18"/>
          </w:rPr>
          <w:t>pressure in adults: executive summary: a report of the American</w:t>
        </w:r>
      </w:hyperlink>
      <w:r>
        <w:rPr>
          <w:color w:val="0087BE"/>
          <w:sz w:val="18"/>
        </w:rPr>
        <w:t xml:space="preserve"> </w:t>
      </w:r>
      <w:hyperlink r:id="rId63">
        <w:r>
          <w:rPr>
            <w:color w:val="0087BE"/>
            <w:sz w:val="18"/>
          </w:rPr>
          <w:t>College of Cardiology/ American Heart Association Task Force</w:t>
        </w:r>
      </w:hyperlink>
      <w:r>
        <w:rPr>
          <w:color w:val="0087BE"/>
          <w:sz w:val="18"/>
        </w:rPr>
        <w:t xml:space="preserve"> </w:t>
      </w:r>
      <w:hyperlink r:id="rId64">
        <w:r>
          <w:rPr>
            <w:color w:val="0087BE"/>
            <w:sz w:val="18"/>
          </w:rPr>
          <w:t>on clinical practice guidelines. Hypertension 2018</w:t>
        </w:r>
        <w:proofErr w:type="gramStart"/>
        <w:r>
          <w:rPr>
            <w:color w:val="0087BE"/>
            <w:sz w:val="18"/>
          </w:rPr>
          <w:t>;71:1269</w:t>
        </w:r>
        <w:proofErr w:type="gramEnd"/>
        <w:r>
          <w:rPr>
            <w:color w:val="0087BE"/>
            <w:sz w:val="18"/>
          </w:rPr>
          <w:t>–324.</w:t>
        </w:r>
      </w:hyperlink>
    </w:p>
    <w:p w14:paraId="0A671D8B" w14:textId="77777777" w:rsidR="00F9571B" w:rsidRDefault="001177CA">
      <w:pPr>
        <w:numPr>
          <w:ilvl w:val="0"/>
          <w:numId w:val="5"/>
        </w:numPr>
        <w:spacing w:after="4"/>
        <w:ind w:right="-14" w:hanging="400"/>
      </w:pPr>
      <w:hyperlink r:id="rId65">
        <w:proofErr w:type="spellStart"/>
        <w:r>
          <w:rPr>
            <w:color w:val="0087BE"/>
            <w:sz w:val="18"/>
          </w:rPr>
          <w:t>Mancia</w:t>
        </w:r>
        <w:proofErr w:type="spellEnd"/>
        <w:r>
          <w:rPr>
            <w:color w:val="0087BE"/>
            <w:sz w:val="18"/>
          </w:rPr>
          <w:t xml:space="preserve"> G, </w:t>
        </w:r>
        <w:proofErr w:type="spellStart"/>
        <w:r>
          <w:rPr>
            <w:color w:val="0087BE"/>
            <w:sz w:val="18"/>
          </w:rPr>
          <w:t>Bombelli</w:t>
        </w:r>
        <w:proofErr w:type="spellEnd"/>
        <w:r>
          <w:rPr>
            <w:color w:val="0087BE"/>
            <w:sz w:val="18"/>
          </w:rPr>
          <w:t xml:space="preserve"> M, </w:t>
        </w:r>
        <w:proofErr w:type="spellStart"/>
        <w:r>
          <w:rPr>
            <w:color w:val="0087BE"/>
            <w:sz w:val="18"/>
          </w:rPr>
          <w:t>Facchetti</w:t>
        </w:r>
        <w:proofErr w:type="spellEnd"/>
        <w:r>
          <w:rPr>
            <w:color w:val="0087BE"/>
            <w:sz w:val="18"/>
          </w:rPr>
          <w:t xml:space="preserve"> R, </w:t>
        </w:r>
        <w:proofErr w:type="spellStart"/>
        <w:r>
          <w:rPr>
            <w:color w:val="0087BE"/>
            <w:sz w:val="18"/>
          </w:rPr>
          <w:t>Madotto</w:t>
        </w:r>
        <w:proofErr w:type="spellEnd"/>
        <w:r>
          <w:rPr>
            <w:color w:val="0087BE"/>
            <w:sz w:val="18"/>
          </w:rPr>
          <w:t xml:space="preserve"> F, </w:t>
        </w:r>
        <w:proofErr w:type="spellStart"/>
        <w:r>
          <w:rPr>
            <w:color w:val="0087BE"/>
            <w:sz w:val="18"/>
          </w:rPr>
          <w:t>Quarti-Trevano</w:t>
        </w:r>
        <w:proofErr w:type="spellEnd"/>
        <w:r>
          <w:rPr>
            <w:color w:val="0087BE"/>
            <w:sz w:val="18"/>
          </w:rPr>
          <w:t xml:space="preserve"> F, </w:t>
        </w:r>
      </w:hyperlink>
      <w:hyperlink r:id="rId66">
        <w:r>
          <w:rPr>
            <w:color w:val="0087BE"/>
            <w:sz w:val="18"/>
          </w:rPr>
          <w:t xml:space="preserve">Polo </w:t>
        </w:r>
        <w:proofErr w:type="spellStart"/>
        <w:r>
          <w:rPr>
            <w:color w:val="0087BE"/>
            <w:sz w:val="18"/>
          </w:rPr>
          <w:t>Friz</w:t>
        </w:r>
        <w:proofErr w:type="spellEnd"/>
        <w:r>
          <w:rPr>
            <w:color w:val="0087BE"/>
            <w:sz w:val="18"/>
          </w:rPr>
          <w:t xml:space="preserve"> H, et al. Long-term risk of sustained hypertension</w:t>
        </w:r>
      </w:hyperlink>
      <w:r>
        <w:rPr>
          <w:color w:val="0087BE"/>
          <w:sz w:val="18"/>
        </w:rPr>
        <w:t xml:space="preserve"> </w:t>
      </w:r>
      <w:hyperlink r:id="rId67">
        <w:r>
          <w:rPr>
            <w:color w:val="0087BE"/>
            <w:sz w:val="18"/>
          </w:rPr>
          <w:t>in white-coat or masked hypertension. Hypertension 2009</w:t>
        </w:r>
        <w:proofErr w:type="gramStart"/>
        <w:r>
          <w:rPr>
            <w:color w:val="0087BE"/>
            <w:sz w:val="18"/>
          </w:rPr>
          <w:t>;54</w:t>
        </w:r>
        <w:proofErr w:type="gramEnd"/>
        <w:r>
          <w:rPr>
            <w:color w:val="0087BE"/>
            <w:sz w:val="18"/>
          </w:rPr>
          <w:t>:</w:t>
        </w:r>
      </w:hyperlink>
      <w:hyperlink r:id="rId68">
        <w:r>
          <w:rPr>
            <w:color w:val="0087BE"/>
            <w:sz w:val="18"/>
          </w:rPr>
          <w:t xml:space="preserve"> </w:t>
        </w:r>
      </w:hyperlink>
      <w:hyperlink r:id="rId69">
        <w:r>
          <w:rPr>
            <w:color w:val="0087BE"/>
            <w:sz w:val="18"/>
          </w:rPr>
          <w:t>226–32.</w:t>
        </w:r>
      </w:hyperlink>
    </w:p>
    <w:p w14:paraId="30E507AF" w14:textId="77777777" w:rsidR="00F9571B" w:rsidRDefault="001177CA">
      <w:pPr>
        <w:numPr>
          <w:ilvl w:val="0"/>
          <w:numId w:val="5"/>
        </w:numPr>
        <w:spacing w:after="4"/>
        <w:ind w:right="-14" w:hanging="400"/>
      </w:pPr>
      <w:hyperlink r:id="rId70">
        <w:proofErr w:type="spellStart"/>
        <w:r>
          <w:rPr>
            <w:color w:val="0087BE"/>
            <w:sz w:val="18"/>
          </w:rPr>
          <w:t>Gorostidi</w:t>
        </w:r>
        <w:proofErr w:type="spellEnd"/>
        <w:r>
          <w:rPr>
            <w:color w:val="0087BE"/>
            <w:sz w:val="18"/>
          </w:rPr>
          <w:t xml:space="preserve"> M, </w:t>
        </w:r>
        <w:proofErr w:type="spellStart"/>
        <w:r>
          <w:rPr>
            <w:color w:val="0087BE"/>
            <w:sz w:val="18"/>
          </w:rPr>
          <w:t>Vinyoles</w:t>
        </w:r>
        <w:proofErr w:type="spellEnd"/>
        <w:r>
          <w:rPr>
            <w:color w:val="0087BE"/>
            <w:sz w:val="18"/>
          </w:rPr>
          <w:t xml:space="preserve"> E, Banegas JR, de la Sierra A. Prevalence</w:t>
        </w:r>
      </w:hyperlink>
      <w:r>
        <w:rPr>
          <w:color w:val="0087BE"/>
          <w:sz w:val="18"/>
        </w:rPr>
        <w:t xml:space="preserve"> </w:t>
      </w:r>
      <w:hyperlink r:id="rId71">
        <w:r>
          <w:rPr>
            <w:color w:val="0087BE"/>
            <w:sz w:val="18"/>
          </w:rPr>
          <w:t>of white-coat and masked hypertension in national and interna</w:t>
        </w:r>
      </w:hyperlink>
      <w:hyperlink r:id="rId72"/>
      <w:hyperlink r:id="rId73">
        <w:r>
          <w:rPr>
            <w:color w:val="0087BE"/>
            <w:sz w:val="18"/>
          </w:rPr>
          <w:t>tional registries. Hypertension Res 2015</w:t>
        </w:r>
        <w:proofErr w:type="gramStart"/>
        <w:r>
          <w:rPr>
            <w:color w:val="0087BE"/>
            <w:sz w:val="18"/>
          </w:rPr>
          <w:t>;38:1</w:t>
        </w:r>
        <w:proofErr w:type="gramEnd"/>
        <w:r>
          <w:rPr>
            <w:color w:val="0087BE"/>
            <w:sz w:val="18"/>
          </w:rPr>
          <w:t>–</w:t>
        </w:r>
        <w:r>
          <w:rPr>
            <w:color w:val="0087BE"/>
            <w:sz w:val="18"/>
          </w:rPr>
          <w:t>7.</w:t>
        </w:r>
      </w:hyperlink>
    </w:p>
    <w:p w14:paraId="5D64822A" w14:textId="77777777" w:rsidR="00F9571B" w:rsidRDefault="001177CA">
      <w:pPr>
        <w:numPr>
          <w:ilvl w:val="0"/>
          <w:numId w:val="5"/>
        </w:numPr>
        <w:spacing w:after="4"/>
        <w:ind w:right="-14" w:hanging="400"/>
      </w:pPr>
      <w:hyperlink r:id="rId74">
        <w:proofErr w:type="spellStart"/>
        <w:r>
          <w:rPr>
            <w:color w:val="0087BE"/>
            <w:sz w:val="18"/>
          </w:rPr>
          <w:t>Pierdomenico</w:t>
        </w:r>
        <w:proofErr w:type="spellEnd"/>
        <w:r>
          <w:rPr>
            <w:color w:val="0087BE"/>
            <w:sz w:val="18"/>
          </w:rPr>
          <w:t xml:space="preserve"> SD, </w:t>
        </w:r>
        <w:proofErr w:type="spellStart"/>
        <w:r>
          <w:rPr>
            <w:color w:val="0087BE"/>
            <w:sz w:val="18"/>
          </w:rPr>
          <w:t>Cuccurullo</w:t>
        </w:r>
        <w:proofErr w:type="spellEnd"/>
        <w:r>
          <w:rPr>
            <w:color w:val="0087BE"/>
            <w:sz w:val="18"/>
          </w:rPr>
          <w:t xml:space="preserve"> F. Prognostic value of white-coat</w:t>
        </w:r>
      </w:hyperlink>
      <w:r>
        <w:rPr>
          <w:color w:val="0087BE"/>
          <w:sz w:val="18"/>
        </w:rPr>
        <w:t xml:space="preserve"> </w:t>
      </w:r>
      <w:hyperlink r:id="rId75">
        <w:r>
          <w:rPr>
            <w:color w:val="0087BE"/>
            <w:sz w:val="18"/>
          </w:rPr>
          <w:t xml:space="preserve">and masked hypertension diagnosed by ambulatory monitoring </w:t>
        </w:r>
      </w:hyperlink>
      <w:hyperlink r:id="rId76">
        <w:r>
          <w:rPr>
            <w:color w:val="0087BE"/>
            <w:sz w:val="18"/>
          </w:rPr>
          <w:t xml:space="preserve">in initially untreated subjects: an updated </w:t>
        </w:r>
        <w:proofErr w:type="spellStart"/>
        <w:proofErr w:type="gramStart"/>
        <w:r>
          <w:rPr>
            <w:color w:val="0087BE"/>
            <w:sz w:val="18"/>
          </w:rPr>
          <w:t>meta</w:t>
        </w:r>
        <w:proofErr w:type="gramEnd"/>
        <w:r>
          <w:rPr>
            <w:color w:val="0087BE"/>
            <w:sz w:val="18"/>
          </w:rPr>
          <w:t xml:space="preserve"> analysis</w:t>
        </w:r>
        <w:proofErr w:type="spellEnd"/>
        <w:r>
          <w:rPr>
            <w:color w:val="0087BE"/>
            <w:sz w:val="18"/>
          </w:rPr>
          <w:t xml:space="preserve">. Am J </w:t>
        </w:r>
      </w:hyperlink>
      <w:hyperlink r:id="rId77">
        <w:proofErr w:type="spellStart"/>
        <w:r>
          <w:rPr>
            <w:color w:val="0087BE"/>
            <w:sz w:val="18"/>
          </w:rPr>
          <w:t>Hypertens</w:t>
        </w:r>
        <w:proofErr w:type="spellEnd"/>
        <w:r>
          <w:rPr>
            <w:color w:val="0087BE"/>
            <w:sz w:val="18"/>
          </w:rPr>
          <w:t xml:space="preserve"> 2011</w:t>
        </w:r>
        <w:proofErr w:type="gramStart"/>
        <w:r>
          <w:rPr>
            <w:color w:val="0087BE"/>
            <w:sz w:val="18"/>
          </w:rPr>
          <w:t>;24:52</w:t>
        </w:r>
        <w:proofErr w:type="gramEnd"/>
        <w:r>
          <w:rPr>
            <w:color w:val="0087BE"/>
            <w:sz w:val="18"/>
          </w:rPr>
          <w:t>–8.</w:t>
        </w:r>
      </w:hyperlink>
    </w:p>
    <w:p w14:paraId="73E26AEF" w14:textId="77777777" w:rsidR="00F9571B" w:rsidRDefault="001177CA">
      <w:pPr>
        <w:numPr>
          <w:ilvl w:val="0"/>
          <w:numId w:val="5"/>
        </w:numPr>
        <w:spacing w:after="4"/>
        <w:ind w:right="-14" w:hanging="400"/>
      </w:pPr>
      <w:hyperlink r:id="rId78">
        <w:r>
          <w:rPr>
            <w:color w:val="0087BE"/>
            <w:sz w:val="18"/>
          </w:rPr>
          <w:t>Frankl</w:t>
        </w:r>
        <w:r>
          <w:rPr>
            <w:color w:val="0087BE"/>
            <w:sz w:val="18"/>
          </w:rPr>
          <w:t xml:space="preserve">in SS, Thijs L, Hansen TW, Li Y, </w:t>
        </w:r>
        <w:proofErr w:type="spellStart"/>
        <w:r>
          <w:rPr>
            <w:color w:val="0087BE"/>
            <w:sz w:val="18"/>
          </w:rPr>
          <w:t>Boggia</w:t>
        </w:r>
        <w:proofErr w:type="spellEnd"/>
        <w:r>
          <w:rPr>
            <w:color w:val="0087BE"/>
            <w:sz w:val="18"/>
          </w:rPr>
          <w:t xml:space="preserve"> J, </w:t>
        </w:r>
        <w:proofErr w:type="spellStart"/>
        <w:r>
          <w:rPr>
            <w:color w:val="0087BE"/>
            <w:sz w:val="18"/>
          </w:rPr>
          <w:t>Kikuya</w:t>
        </w:r>
        <w:proofErr w:type="spellEnd"/>
        <w:r>
          <w:rPr>
            <w:color w:val="0087BE"/>
            <w:sz w:val="18"/>
          </w:rPr>
          <w:t xml:space="preserve"> M, </w:t>
        </w:r>
      </w:hyperlink>
      <w:hyperlink r:id="rId79">
        <w:r>
          <w:rPr>
            <w:color w:val="0087BE"/>
            <w:sz w:val="18"/>
          </w:rPr>
          <w:t xml:space="preserve">et al. Sig </w:t>
        </w:r>
        <w:proofErr w:type="spellStart"/>
        <w:r>
          <w:rPr>
            <w:color w:val="0087BE"/>
            <w:sz w:val="18"/>
          </w:rPr>
          <w:t>nificance</w:t>
        </w:r>
        <w:proofErr w:type="spellEnd"/>
        <w:r>
          <w:rPr>
            <w:color w:val="0087BE"/>
            <w:sz w:val="18"/>
          </w:rPr>
          <w:t xml:space="preserve"> of white-coat hypertension in older per</w:t>
        </w:r>
      </w:hyperlink>
      <w:hyperlink r:id="rId80"/>
      <w:hyperlink r:id="rId81">
        <w:r>
          <w:rPr>
            <w:color w:val="0087BE"/>
            <w:sz w:val="18"/>
          </w:rPr>
          <w:t>sons with isolated systolic hypertension: a meta-analysis using</w:t>
        </w:r>
      </w:hyperlink>
      <w:r>
        <w:rPr>
          <w:color w:val="0087BE"/>
          <w:sz w:val="18"/>
        </w:rPr>
        <w:t xml:space="preserve"> </w:t>
      </w:r>
      <w:hyperlink r:id="rId82">
        <w:r>
          <w:rPr>
            <w:color w:val="0087BE"/>
            <w:sz w:val="18"/>
          </w:rPr>
          <w:t>the International Data base on Ambulatory Blood Pressu</w:t>
        </w:r>
        <w:r>
          <w:rPr>
            <w:color w:val="0087BE"/>
            <w:sz w:val="18"/>
          </w:rPr>
          <w:t>re</w:t>
        </w:r>
      </w:hyperlink>
      <w:r>
        <w:rPr>
          <w:color w:val="0087BE"/>
          <w:sz w:val="18"/>
        </w:rPr>
        <w:t xml:space="preserve"> </w:t>
      </w:r>
      <w:hyperlink r:id="rId83">
        <w:r>
          <w:rPr>
            <w:color w:val="0087BE"/>
            <w:sz w:val="18"/>
          </w:rPr>
          <w:t xml:space="preserve">Monitoring in Relation to </w:t>
        </w:r>
        <w:proofErr w:type="spellStart"/>
        <w:r>
          <w:rPr>
            <w:color w:val="0087BE"/>
            <w:sz w:val="18"/>
          </w:rPr>
          <w:t>Cardi</w:t>
        </w:r>
        <w:proofErr w:type="spellEnd"/>
        <w:r>
          <w:rPr>
            <w:color w:val="0087BE"/>
            <w:sz w:val="18"/>
          </w:rPr>
          <w:t xml:space="preserve"> </w:t>
        </w:r>
        <w:proofErr w:type="spellStart"/>
        <w:r>
          <w:rPr>
            <w:color w:val="0087BE"/>
            <w:sz w:val="18"/>
          </w:rPr>
          <w:t>ovascular</w:t>
        </w:r>
        <w:proofErr w:type="spellEnd"/>
        <w:r>
          <w:rPr>
            <w:color w:val="0087BE"/>
            <w:sz w:val="18"/>
          </w:rPr>
          <w:t xml:space="preserve"> Outcomes population.</w:t>
        </w:r>
      </w:hyperlink>
      <w:r>
        <w:rPr>
          <w:color w:val="0087BE"/>
          <w:sz w:val="18"/>
        </w:rPr>
        <w:t xml:space="preserve"> </w:t>
      </w:r>
      <w:hyperlink r:id="rId84">
        <w:r>
          <w:rPr>
            <w:color w:val="0087BE"/>
            <w:sz w:val="18"/>
          </w:rPr>
          <w:t>Hypertension 2012</w:t>
        </w:r>
        <w:proofErr w:type="gramStart"/>
        <w:r>
          <w:rPr>
            <w:color w:val="0087BE"/>
            <w:sz w:val="18"/>
          </w:rPr>
          <w:t>;59:564</w:t>
        </w:r>
        <w:proofErr w:type="gramEnd"/>
        <w:r>
          <w:rPr>
            <w:color w:val="0087BE"/>
            <w:sz w:val="18"/>
          </w:rPr>
          <w:t>–71.</w:t>
        </w:r>
      </w:hyperlink>
    </w:p>
    <w:p w14:paraId="502D3F52" w14:textId="77777777" w:rsidR="00F9571B" w:rsidRDefault="001177CA">
      <w:pPr>
        <w:numPr>
          <w:ilvl w:val="0"/>
          <w:numId w:val="5"/>
        </w:numPr>
        <w:spacing w:after="4"/>
        <w:ind w:right="-14" w:hanging="400"/>
      </w:pPr>
      <w:hyperlink r:id="rId85">
        <w:proofErr w:type="spellStart"/>
        <w:r>
          <w:rPr>
            <w:color w:val="0087BE"/>
            <w:sz w:val="18"/>
          </w:rPr>
          <w:t>Bulpitt</w:t>
        </w:r>
        <w:proofErr w:type="spellEnd"/>
        <w:r>
          <w:rPr>
            <w:color w:val="0087BE"/>
            <w:sz w:val="18"/>
          </w:rPr>
          <w:t xml:space="preserve"> CJ, Beckett N, Peters R, </w:t>
        </w:r>
        <w:proofErr w:type="spellStart"/>
        <w:r>
          <w:rPr>
            <w:color w:val="0087BE"/>
            <w:sz w:val="18"/>
          </w:rPr>
          <w:t>Staessen</w:t>
        </w:r>
        <w:proofErr w:type="spellEnd"/>
        <w:r>
          <w:rPr>
            <w:color w:val="0087BE"/>
            <w:sz w:val="18"/>
          </w:rPr>
          <w:t xml:space="preserve"> JA, Wang JG, </w:t>
        </w:r>
        <w:proofErr w:type="spellStart"/>
        <w:r>
          <w:rPr>
            <w:color w:val="0087BE"/>
            <w:sz w:val="18"/>
          </w:rPr>
          <w:t>Comsa</w:t>
        </w:r>
        <w:proofErr w:type="spellEnd"/>
        <w:r>
          <w:rPr>
            <w:color w:val="0087BE"/>
            <w:sz w:val="18"/>
          </w:rPr>
          <w:t xml:space="preserve"> M,</w:t>
        </w:r>
      </w:hyperlink>
      <w:hyperlink r:id="rId86">
        <w:r>
          <w:rPr>
            <w:color w:val="0087BE"/>
            <w:sz w:val="18"/>
          </w:rPr>
          <w:t xml:space="preserve"> </w:t>
        </w:r>
      </w:hyperlink>
      <w:hyperlink r:id="rId87">
        <w:r>
          <w:rPr>
            <w:color w:val="0087BE"/>
            <w:sz w:val="18"/>
          </w:rPr>
          <w:t xml:space="preserve">et </w:t>
        </w:r>
        <w:r>
          <w:rPr>
            <w:color w:val="0087BE"/>
            <w:sz w:val="18"/>
          </w:rPr>
          <w:t>al. Does white coat hypertension require treatment over</w:t>
        </w:r>
      </w:hyperlink>
      <w:hyperlink r:id="rId88">
        <w:r>
          <w:rPr>
            <w:color w:val="0087BE"/>
            <w:sz w:val="18"/>
          </w:rPr>
          <w:t xml:space="preserve"> </w:t>
        </w:r>
      </w:hyperlink>
      <w:hyperlink r:id="rId89">
        <w:r>
          <w:rPr>
            <w:color w:val="0087BE"/>
            <w:sz w:val="18"/>
          </w:rPr>
          <w:t>age 80</w:t>
        </w:r>
        <w:proofErr w:type="gramStart"/>
        <w:r>
          <w:rPr>
            <w:color w:val="0087BE"/>
            <w:sz w:val="18"/>
          </w:rPr>
          <w:t>?:</w:t>
        </w:r>
        <w:proofErr w:type="gramEnd"/>
        <w:r>
          <w:rPr>
            <w:color w:val="0087BE"/>
            <w:sz w:val="18"/>
          </w:rPr>
          <w:t xml:space="preserve"> results of the hypertension in the very elderly tri</w:t>
        </w:r>
        <w:r>
          <w:rPr>
            <w:color w:val="0087BE"/>
            <w:sz w:val="18"/>
          </w:rPr>
          <w:t xml:space="preserve">al </w:t>
        </w:r>
        <w:r>
          <w:rPr>
            <w:color w:val="0087BE"/>
            <w:sz w:val="18"/>
          </w:rPr>
          <w:t>ambu</w:t>
        </w:r>
      </w:hyperlink>
      <w:hyperlink r:id="rId90"/>
      <w:hyperlink r:id="rId91">
        <w:r>
          <w:rPr>
            <w:color w:val="0087BE"/>
            <w:sz w:val="18"/>
          </w:rPr>
          <w:t>latory blood pressure side project. Hypertension 2013</w:t>
        </w:r>
        <w:proofErr w:type="gramStart"/>
        <w:r>
          <w:rPr>
            <w:color w:val="0087BE"/>
            <w:sz w:val="18"/>
          </w:rPr>
          <w:t>;61:89</w:t>
        </w:r>
        <w:proofErr w:type="gramEnd"/>
        <w:r>
          <w:rPr>
            <w:color w:val="0087BE"/>
            <w:sz w:val="18"/>
          </w:rPr>
          <w:t>–94.</w:t>
        </w:r>
      </w:hyperlink>
    </w:p>
    <w:p w14:paraId="72E3073A" w14:textId="77777777" w:rsidR="00F9571B" w:rsidRDefault="001177CA">
      <w:pPr>
        <w:numPr>
          <w:ilvl w:val="0"/>
          <w:numId w:val="5"/>
        </w:numPr>
        <w:spacing w:after="2" w:line="262" w:lineRule="auto"/>
        <w:ind w:right="-14" w:hanging="400"/>
      </w:pPr>
      <w:proofErr w:type="spellStart"/>
      <w:r>
        <w:rPr>
          <w:sz w:val="18"/>
        </w:rPr>
        <w:t>Indapamide</w:t>
      </w:r>
      <w:proofErr w:type="spellEnd"/>
      <w:r>
        <w:rPr>
          <w:sz w:val="18"/>
        </w:rPr>
        <w:t xml:space="preserve"> SPC. 2019. Available from: </w:t>
      </w:r>
      <w:hyperlink r:id="rId92">
        <w:r>
          <w:rPr>
            <w:sz w:val="18"/>
          </w:rPr>
          <w:t xml:space="preserve">https://www.medicines. </w:t>
        </w:r>
      </w:hyperlink>
      <w:hyperlink r:id="rId93">
        <w:r>
          <w:rPr>
            <w:sz w:val="18"/>
          </w:rPr>
          <w:t>org.uk/</w:t>
        </w:r>
        <w:proofErr w:type="spellStart"/>
        <w:r>
          <w:rPr>
            <w:sz w:val="18"/>
          </w:rPr>
          <w:t>emc</w:t>
        </w:r>
        <w:proofErr w:type="spellEnd"/>
        <w:r>
          <w:rPr>
            <w:sz w:val="18"/>
          </w:rPr>
          <w:t>/medicine/1946 (accessed Oct</w:t>
        </w:r>
        <w:r>
          <w:rPr>
            <w:sz w:val="18"/>
          </w:rPr>
          <w:t>ober 2019).</w:t>
        </w:r>
      </w:hyperlink>
    </w:p>
    <w:p w14:paraId="0A991F21" w14:textId="77777777" w:rsidR="00F9571B" w:rsidRDefault="001177CA">
      <w:pPr>
        <w:numPr>
          <w:ilvl w:val="0"/>
          <w:numId w:val="5"/>
        </w:numPr>
        <w:spacing w:after="2" w:line="262" w:lineRule="auto"/>
        <w:ind w:right="-14" w:hanging="400"/>
      </w:pPr>
      <w:r>
        <w:rPr>
          <w:sz w:val="18"/>
        </w:rPr>
        <w:t xml:space="preserve">Perindopril SPC. 2019. Available from: </w:t>
      </w:r>
      <w:hyperlink r:id="rId94">
        <w:r>
          <w:rPr>
            <w:sz w:val="18"/>
          </w:rPr>
          <w:t>https://www.medicines.</w:t>
        </w:r>
      </w:hyperlink>
    </w:p>
    <w:p w14:paraId="2F4BED8F" w14:textId="77777777" w:rsidR="00F9571B" w:rsidRDefault="001177CA">
      <w:pPr>
        <w:spacing w:after="2" w:line="262" w:lineRule="auto"/>
        <w:ind w:left="400" w:right="0" w:firstLine="0"/>
      </w:pPr>
      <w:hyperlink r:id="rId95">
        <w:r>
          <w:rPr>
            <w:sz w:val="18"/>
          </w:rPr>
          <w:t>org.uk/</w:t>
        </w:r>
        <w:proofErr w:type="spellStart"/>
        <w:r>
          <w:rPr>
            <w:sz w:val="18"/>
          </w:rPr>
          <w:t>emc</w:t>
        </w:r>
        <w:proofErr w:type="spellEnd"/>
        <w:r>
          <w:rPr>
            <w:sz w:val="18"/>
          </w:rPr>
          <w:t>/product/4389 (accessed November 2019)</w:t>
        </w:r>
      </w:hyperlink>
      <w:r>
        <w:rPr>
          <w:sz w:val="18"/>
        </w:rPr>
        <w:t xml:space="preserve">. </w:t>
      </w:r>
    </w:p>
    <w:p w14:paraId="0EE5661D" w14:textId="77777777" w:rsidR="00F9571B" w:rsidRDefault="00F9571B">
      <w:pPr>
        <w:sectPr w:rsidR="00F9571B">
          <w:type w:val="continuous"/>
          <w:pgSz w:w="11906" w:h="15874"/>
          <w:pgMar w:top="1204" w:right="719" w:bottom="780" w:left="720" w:header="720" w:footer="720" w:gutter="0"/>
          <w:cols w:num="2" w:space="340"/>
        </w:sectPr>
      </w:pPr>
    </w:p>
    <w:p w14:paraId="118B0DE0" w14:textId="77777777" w:rsidR="00F9571B" w:rsidRDefault="001177CA">
      <w:pPr>
        <w:spacing w:after="0" w:line="259" w:lineRule="auto"/>
        <w:ind w:left="-338" w:right="-332" w:firstLine="0"/>
        <w:jc w:val="left"/>
      </w:pPr>
      <w:r>
        <w:rPr>
          <w:rFonts w:ascii="Calibri" w:eastAsia="Calibri" w:hAnsi="Calibri" w:cs="Calibri"/>
          <w:noProof/>
          <w:color w:val="000000"/>
          <w:sz w:val="22"/>
        </w:rPr>
        <w:lastRenderedPageBreak/>
        <mc:AlternateContent>
          <mc:Choice Requires="wpg">
            <w:drawing>
              <wp:inline distT="0" distB="0" distL="0" distR="0" wp14:anchorId="43E3033C" wp14:editId="76FFEC9C">
                <wp:extent cx="6156332" cy="8333606"/>
                <wp:effectExtent l="0" t="0" r="0" b="0"/>
                <wp:docPr id="12640" name="Group 12640"/>
                <wp:cNvGraphicFramePr/>
                <a:graphic xmlns:a="http://schemas.openxmlformats.org/drawingml/2006/main">
                  <a:graphicData uri="http://schemas.microsoft.com/office/word/2010/wordprocessingGroup">
                    <wpg:wgp>
                      <wpg:cNvGrpSpPr/>
                      <wpg:grpSpPr>
                        <a:xfrm>
                          <a:off x="0" y="0"/>
                          <a:ext cx="6156332" cy="8333606"/>
                          <a:chOff x="0" y="0"/>
                          <a:chExt cx="6156332" cy="8333606"/>
                        </a:xfrm>
                      </wpg:grpSpPr>
                      <wps:wsp>
                        <wps:cNvPr id="1427" name="Rectangle 1427"/>
                        <wps:cNvSpPr/>
                        <wps:spPr>
                          <a:xfrm rot="-3344999">
                            <a:off x="-2118115" y="2270553"/>
                            <a:ext cx="12424152" cy="1446360"/>
                          </a:xfrm>
                          <a:prstGeom prst="rect">
                            <a:avLst/>
                          </a:prstGeom>
                          <a:ln>
                            <a:noFill/>
                          </a:ln>
                        </wps:spPr>
                        <wps:txbx>
                          <w:txbxContent>
                            <w:p w14:paraId="273A0B94" w14:textId="77777777" w:rsidR="00F9571B" w:rsidRDefault="001177CA">
                              <w:pPr>
                                <w:spacing w:after="160" w:line="259" w:lineRule="auto"/>
                                <w:ind w:left="0" w:right="0" w:firstLine="0"/>
                                <w:jc w:val="left"/>
                              </w:pPr>
                              <w:r>
                                <w:rPr>
                                  <w:color w:val="000000"/>
                                  <w:sz w:val="146"/>
                                </w:rPr>
                                <w:t>Intentionally</w:t>
                              </w:r>
                              <w:r>
                                <w:rPr>
                                  <w:color w:val="000000"/>
                                  <w:spacing w:val="-1537"/>
                                  <w:sz w:val="146"/>
                                </w:rPr>
                                <w:t xml:space="preserve"> </w:t>
                              </w:r>
                              <w:r>
                                <w:rPr>
                                  <w:color w:val="000000"/>
                                  <w:sz w:val="146"/>
                                </w:rPr>
                                <w:t>Left</w:t>
                              </w:r>
                              <w:r>
                                <w:rPr>
                                  <w:color w:val="000000"/>
                                  <w:spacing w:val="-1537"/>
                                  <w:sz w:val="146"/>
                                </w:rPr>
                                <w:t xml:space="preserve"> </w:t>
                              </w:r>
                              <w:r>
                                <w:rPr>
                                  <w:color w:val="000000"/>
                                  <w:sz w:val="146"/>
                                </w:rPr>
                                <w:t>Blank</w:t>
                              </w:r>
                            </w:p>
                          </w:txbxContent>
                        </wps:txbx>
                        <wps:bodyPr horzOverflow="overflow" vert="horz" lIns="0" tIns="0" rIns="0" bIns="0" rtlCol="0">
                          <a:noAutofit/>
                        </wps:bodyPr>
                      </wps:wsp>
                    </wpg:wgp>
                  </a:graphicData>
                </a:graphic>
              </wp:inline>
            </w:drawing>
          </mc:Choice>
          <mc:Fallback xmlns:a="http://schemas.openxmlformats.org/drawingml/2006/main">
            <w:pict>
              <v:group id="Group 12640" style="width:484.751pt;height:656.189pt;mso-position-horizontal-relative:char;mso-position-vertical-relative:line" coordsize="61563,83336">
                <v:rect id="Rectangle 1427" style="position:absolute;width:124241;height:14463;left:-21181;top:22705;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color w:val="000000"/>
                            <w:sz w:val="146"/>
                          </w:rPr>
                          <w:t xml:space="preserve">Intentionally</w:t>
                        </w:r>
                        <w:r>
                          <w:rPr>
                            <w:rFonts w:cs="Times New Roman" w:hAnsi="Times New Roman" w:eastAsia="Times New Roman" w:ascii="Times New Roman"/>
                            <w:color w:val="000000"/>
                            <w:spacing w:val="-1537"/>
                            <w:sz w:val="146"/>
                          </w:rPr>
                          <w:t xml:space="preserve"> </w:t>
                        </w:r>
                        <w:r>
                          <w:rPr>
                            <w:rFonts w:cs="Times New Roman" w:hAnsi="Times New Roman" w:eastAsia="Times New Roman" w:ascii="Times New Roman"/>
                            <w:color w:val="000000"/>
                            <w:sz w:val="146"/>
                          </w:rPr>
                          <w:t xml:space="preserve">Left</w:t>
                        </w:r>
                        <w:r>
                          <w:rPr>
                            <w:rFonts w:cs="Times New Roman" w:hAnsi="Times New Roman" w:eastAsia="Times New Roman" w:ascii="Times New Roman"/>
                            <w:color w:val="000000"/>
                            <w:spacing w:val="-1537"/>
                            <w:sz w:val="146"/>
                          </w:rPr>
                          <w:t xml:space="preserve"> </w:t>
                        </w:r>
                        <w:r>
                          <w:rPr>
                            <w:rFonts w:cs="Times New Roman" w:hAnsi="Times New Roman" w:eastAsia="Times New Roman" w:ascii="Times New Roman"/>
                            <w:color w:val="000000"/>
                            <w:sz w:val="146"/>
                          </w:rPr>
                          <w:t xml:space="preserve">Blank</w:t>
                        </w:r>
                      </w:p>
                    </w:txbxContent>
                  </v:textbox>
                </v:rect>
              </v:group>
            </w:pict>
          </mc:Fallback>
        </mc:AlternateContent>
      </w:r>
    </w:p>
    <w:sectPr w:rsidR="00F9571B">
      <w:headerReference w:type="even" r:id="rId96"/>
      <w:headerReference w:type="default" r:id="rId97"/>
      <w:headerReference w:type="first" r:id="rId98"/>
      <w:pgSz w:w="11906" w:h="15874"/>
      <w:pgMar w:top="1440" w:right="1440" w:bottom="11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5595D" w14:textId="77777777" w:rsidR="00000000" w:rsidRDefault="001177CA">
      <w:pPr>
        <w:spacing w:after="0" w:line="240" w:lineRule="auto"/>
      </w:pPr>
      <w:r>
        <w:separator/>
      </w:r>
    </w:p>
  </w:endnote>
  <w:endnote w:type="continuationSeparator" w:id="0">
    <w:p w14:paraId="534FC46B" w14:textId="77777777" w:rsidR="00000000" w:rsidRDefault="00117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516E1" w14:textId="77777777" w:rsidR="00F9571B" w:rsidRDefault="001177CA">
      <w:pPr>
        <w:spacing w:after="21" w:line="259" w:lineRule="auto"/>
        <w:ind w:left="0" w:right="0" w:firstLine="0"/>
        <w:jc w:val="left"/>
      </w:pPr>
      <w:r>
        <w:separator/>
      </w:r>
    </w:p>
  </w:footnote>
  <w:footnote w:type="continuationSeparator" w:id="0">
    <w:p w14:paraId="697969B3" w14:textId="77777777" w:rsidR="00F9571B" w:rsidRDefault="001177CA">
      <w:pPr>
        <w:spacing w:after="21" w:line="259" w:lineRule="auto"/>
        <w:ind w:left="0" w:right="0" w:firstLine="0"/>
        <w:jc w:val="left"/>
      </w:pPr>
      <w:r>
        <w:continuationSeparator/>
      </w:r>
    </w:p>
  </w:footnote>
  <w:footnote w:id="1">
    <w:p w14:paraId="5BF19F44" w14:textId="77777777" w:rsidR="00F9571B" w:rsidRDefault="001177CA">
      <w:pPr>
        <w:pStyle w:val="footnotedescription"/>
        <w:spacing w:after="21" w:line="259" w:lineRule="auto"/>
      </w:pPr>
      <w:r>
        <w:rPr>
          <w:rStyle w:val="footnotemark"/>
        </w:rPr>
        <w:footnoteRef/>
      </w:r>
      <w:r>
        <w:t xml:space="preserve"> Corresponding author. Email: </w:t>
      </w:r>
      <w:r>
        <w:rPr>
          <w:color w:val="0087BE"/>
        </w:rPr>
        <w:t>M.Okorie@bsms.ac.uk</w:t>
      </w:r>
    </w:p>
    <w:p w14:paraId="5F77EAEA" w14:textId="77777777" w:rsidR="00F9571B" w:rsidRDefault="001177CA">
      <w:pPr>
        <w:pStyle w:val="footnotedescription"/>
        <w:ind w:right="24"/>
      </w:pPr>
      <w:r>
        <w:t>Peer review under responsibility of the Association for Research into Arterial Structure and Physiology</w:t>
      </w:r>
    </w:p>
    <w:p w14:paraId="167BEC7A" w14:textId="77777777" w:rsidR="00F9571B" w:rsidRDefault="001177CA">
      <w:pPr>
        <w:pStyle w:val="footnotedescription"/>
        <w:spacing w:after="0"/>
      </w:pPr>
      <w:r>
        <w:t xml:space="preserve">Data availability statement: </w:t>
      </w:r>
      <w:r>
        <w:rPr>
          <w:i w:val="0"/>
        </w:rPr>
        <w:t>The data that support any aspects of this study protocol are available from the corresponding author, (MO), upon reasonable</w:t>
      </w:r>
      <w:r>
        <w:rPr>
          <w:i w:val="0"/>
        </w:rPr>
        <w:t xml:space="preserve"> request.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7B787" w14:textId="77777777" w:rsidR="00F9571B" w:rsidRDefault="001177CA">
    <w:pPr>
      <w:tabs>
        <w:tab w:val="center" w:pos="5240"/>
      </w:tabs>
      <w:spacing w:after="0" w:line="259" w:lineRule="auto"/>
      <w:ind w:left="0" w:right="0" w:firstLine="0"/>
      <w:jc w:val="left"/>
    </w:pPr>
    <w:r>
      <w:fldChar w:fldCharType="begin"/>
    </w:r>
    <w:r>
      <w:instrText xml:space="preserve"> PAGE   \* MERGEFORMAT </w:instrText>
    </w:r>
    <w:r>
      <w:fldChar w:fldCharType="separate"/>
    </w:r>
    <w:r w:rsidRPr="001177CA">
      <w:rPr>
        <w:rFonts w:ascii="Arial" w:eastAsia="Arial" w:hAnsi="Arial" w:cs="Arial"/>
        <w:b/>
        <w:noProof/>
        <w:sz w:val="16"/>
      </w:rPr>
      <w:t>24</w:t>
    </w:r>
    <w:r>
      <w:rPr>
        <w:rFonts w:ascii="Arial" w:eastAsia="Arial" w:hAnsi="Arial" w:cs="Arial"/>
        <w:b/>
        <w:sz w:val="16"/>
      </w:rPr>
      <w:fldChar w:fldCharType="end"/>
    </w:r>
    <w:r>
      <w:rPr>
        <w:i/>
        <w:sz w:val="16"/>
      </w:rPr>
      <w:t xml:space="preserve"> </w:t>
    </w:r>
    <w:r>
      <w:rPr>
        <w:i/>
        <w:sz w:val="16"/>
      </w:rPr>
      <w:tab/>
      <w:t>M. Okorie et al. / Artery Research 25</w:t>
    </w:r>
    <w:r>
      <w:rPr>
        <w:sz w:val="16"/>
      </w:rPr>
      <w:t>(</w:t>
    </w:r>
    <w:r>
      <w:rPr>
        <w:i/>
        <w:sz w:val="16"/>
      </w:rPr>
      <w:t>1-2</w:t>
    </w:r>
    <w:r>
      <w:rPr>
        <w:sz w:val="16"/>
      </w:rPr>
      <w:t>)</w:t>
    </w:r>
    <w:r>
      <w:rPr>
        <w:i/>
        <w:sz w:val="16"/>
      </w:rPr>
      <w:t xml:space="preserve"> 19–25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2C99" w14:textId="77777777" w:rsidR="00F9571B" w:rsidRDefault="001177CA">
    <w:pPr>
      <w:tabs>
        <w:tab w:val="center" w:pos="5240"/>
        <w:tab w:val="right" w:pos="10466"/>
      </w:tabs>
      <w:spacing w:after="0" w:line="259" w:lineRule="auto"/>
      <w:ind w:left="0" w:right="0" w:firstLine="0"/>
      <w:jc w:val="left"/>
    </w:pPr>
    <w:r>
      <w:rPr>
        <w:i/>
        <w:sz w:val="16"/>
      </w:rPr>
      <w:t xml:space="preserve"> </w:t>
    </w:r>
    <w:r>
      <w:rPr>
        <w:i/>
        <w:sz w:val="16"/>
      </w:rPr>
      <w:tab/>
    </w:r>
    <w:r>
      <w:rPr>
        <w:i/>
        <w:sz w:val="16"/>
      </w:rPr>
      <w:t>M. Okorie et al. / Artery Research 25</w:t>
    </w:r>
    <w:r>
      <w:rPr>
        <w:sz w:val="16"/>
      </w:rPr>
      <w:t>(</w:t>
    </w:r>
    <w:r>
      <w:rPr>
        <w:i/>
        <w:sz w:val="16"/>
      </w:rPr>
      <w:t>1-2</w:t>
    </w:r>
    <w:r>
      <w:rPr>
        <w:sz w:val="16"/>
      </w:rPr>
      <w:t>)</w:t>
    </w:r>
    <w:r>
      <w:rPr>
        <w:i/>
        <w:sz w:val="16"/>
      </w:rPr>
      <w:t xml:space="preserve"> 19–25 </w:t>
    </w:r>
    <w:r>
      <w:rPr>
        <w:i/>
        <w:sz w:val="16"/>
      </w:rPr>
      <w:tab/>
    </w:r>
    <w:r>
      <w:fldChar w:fldCharType="begin"/>
    </w:r>
    <w:r>
      <w:instrText xml:space="preserve"> PAGE   \* MERGEFORMAT </w:instrText>
    </w:r>
    <w:r>
      <w:fldChar w:fldCharType="separate"/>
    </w:r>
    <w:r w:rsidRPr="001177CA">
      <w:rPr>
        <w:rFonts w:ascii="Arial" w:eastAsia="Arial" w:hAnsi="Arial" w:cs="Arial"/>
        <w:b/>
        <w:noProof/>
        <w:sz w:val="16"/>
      </w:rPr>
      <w:t>23</w:t>
    </w:r>
    <w:r>
      <w:rPr>
        <w:rFonts w:ascii="Arial" w:eastAsia="Arial" w:hAnsi="Arial" w:cs="Arial"/>
        <w:b/>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48B6B" w14:textId="77777777" w:rsidR="00F9571B" w:rsidRDefault="00F9571B">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24EC9" w14:textId="77777777" w:rsidR="00F9571B" w:rsidRDefault="00F9571B">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0739F" w14:textId="77777777" w:rsidR="00F9571B" w:rsidRDefault="00F9571B">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2364D" w14:textId="77777777" w:rsidR="00F9571B" w:rsidRDefault="00F9571B">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32B70"/>
    <w:multiLevelType w:val="hybridMultilevel"/>
    <w:tmpl w:val="634CDB76"/>
    <w:lvl w:ilvl="0" w:tplc="E3781496">
      <w:start w:val="1"/>
      <w:numFmt w:val="decimal"/>
      <w:lvlText w:val="[%1]"/>
      <w:lvlJc w:val="left"/>
      <w:pPr>
        <w:ind w:left="4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1D5251E4">
      <w:start w:val="1"/>
      <w:numFmt w:val="lowerLetter"/>
      <w:lvlText w:val="%2"/>
      <w:lvlJc w:val="left"/>
      <w:pPr>
        <w:ind w:left="112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22DCA4F2">
      <w:start w:val="1"/>
      <w:numFmt w:val="lowerRoman"/>
      <w:lvlText w:val="%3"/>
      <w:lvlJc w:val="left"/>
      <w:pPr>
        <w:ind w:left="184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678CEF82">
      <w:start w:val="1"/>
      <w:numFmt w:val="decimal"/>
      <w:lvlText w:val="%4"/>
      <w:lvlJc w:val="left"/>
      <w:pPr>
        <w:ind w:left="256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D6F2C4D0">
      <w:start w:val="1"/>
      <w:numFmt w:val="lowerLetter"/>
      <w:lvlText w:val="%5"/>
      <w:lvlJc w:val="left"/>
      <w:pPr>
        <w:ind w:left="328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E5DA7F5C">
      <w:start w:val="1"/>
      <w:numFmt w:val="lowerRoman"/>
      <w:lvlText w:val="%6"/>
      <w:lvlJc w:val="left"/>
      <w:pPr>
        <w:ind w:left="400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4C385594">
      <w:start w:val="1"/>
      <w:numFmt w:val="decimal"/>
      <w:lvlText w:val="%7"/>
      <w:lvlJc w:val="left"/>
      <w:pPr>
        <w:ind w:left="472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805A972A">
      <w:start w:val="1"/>
      <w:numFmt w:val="lowerLetter"/>
      <w:lvlText w:val="%8"/>
      <w:lvlJc w:val="left"/>
      <w:pPr>
        <w:ind w:left="544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9F9CAF2A">
      <w:start w:val="1"/>
      <w:numFmt w:val="lowerRoman"/>
      <w:lvlText w:val="%9"/>
      <w:lvlJc w:val="left"/>
      <w:pPr>
        <w:ind w:left="616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51323D76"/>
    <w:multiLevelType w:val="hybridMultilevel"/>
    <w:tmpl w:val="4334A586"/>
    <w:lvl w:ilvl="0" w:tplc="A5289600">
      <w:start w:val="1"/>
      <w:numFmt w:val="bullet"/>
      <w:lvlText w:val="•"/>
      <w:lvlJc w:val="left"/>
      <w:pPr>
        <w:ind w:left="17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260AC1CC">
      <w:start w:val="1"/>
      <w:numFmt w:val="bullet"/>
      <w:lvlText w:val="o"/>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65C825DC">
      <w:start w:val="1"/>
      <w:numFmt w:val="bullet"/>
      <w:lvlText w:val="▪"/>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C1FEE756">
      <w:start w:val="1"/>
      <w:numFmt w:val="bullet"/>
      <w:lvlText w:val="•"/>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4E50E24C">
      <w:start w:val="1"/>
      <w:numFmt w:val="bullet"/>
      <w:lvlText w:val="o"/>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2786A5E0">
      <w:start w:val="1"/>
      <w:numFmt w:val="bullet"/>
      <w:lvlText w:val="▪"/>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2BB2BEA8">
      <w:start w:val="1"/>
      <w:numFmt w:val="bullet"/>
      <w:lvlText w:val="•"/>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AD565F5C">
      <w:start w:val="1"/>
      <w:numFmt w:val="bullet"/>
      <w:lvlText w:val="o"/>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B044CD56">
      <w:start w:val="1"/>
      <w:numFmt w:val="bullet"/>
      <w:lvlText w:val="▪"/>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2" w15:restartNumberingAfterBreak="0">
    <w:nsid w:val="56860E2F"/>
    <w:multiLevelType w:val="hybridMultilevel"/>
    <w:tmpl w:val="99F284D4"/>
    <w:lvl w:ilvl="0" w:tplc="1EAABED0">
      <w:start w:val="1"/>
      <w:numFmt w:val="bullet"/>
      <w:lvlText w:val="•"/>
      <w:lvlJc w:val="left"/>
      <w:pPr>
        <w:ind w:left="17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AD66AE96">
      <w:start w:val="1"/>
      <w:numFmt w:val="bullet"/>
      <w:lvlText w:val="o"/>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24AEAC52">
      <w:start w:val="1"/>
      <w:numFmt w:val="bullet"/>
      <w:lvlText w:val="▪"/>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6D18CD82">
      <w:start w:val="1"/>
      <w:numFmt w:val="bullet"/>
      <w:lvlText w:val="•"/>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9F8EADAC">
      <w:start w:val="1"/>
      <w:numFmt w:val="bullet"/>
      <w:lvlText w:val="o"/>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33ACB282">
      <w:start w:val="1"/>
      <w:numFmt w:val="bullet"/>
      <w:lvlText w:val="▪"/>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96723924">
      <w:start w:val="1"/>
      <w:numFmt w:val="bullet"/>
      <w:lvlText w:val="•"/>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7FC2A6C2">
      <w:start w:val="1"/>
      <w:numFmt w:val="bullet"/>
      <w:lvlText w:val="o"/>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D7661FA6">
      <w:start w:val="1"/>
      <w:numFmt w:val="bullet"/>
      <w:lvlText w:val="▪"/>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3" w15:restartNumberingAfterBreak="0">
    <w:nsid w:val="621759F0"/>
    <w:multiLevelType w:val="hybridMultilevel"/>
    <w:tmpl w:val="2598ABE4"/>
    <w:lvl w:ilvl="0" w:tplc="EBA2285A">
      <w:start w:val="1"/>
      <w:numFmt w:val="bullet"/>
      <w:lvlText w:val="•"/>
      <w:lvlJc w:val="left"/>
      <w:pPr>
        <w:ind w:left="17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79EA7A46">
      <w:start w:val="1"/>
      <w:numFmt w:val="bullet"/>
      <w:lvlText w:val="o"/>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4A702922">
      <w:start w:val="1"/>
      <w:numFmt w:val="bullet"/>
      <w:lvlText w:val="▪"/>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567E7AEC">
      <w:start w:val="1"/>
      <w:numFmt w:val="bullet"/>
      <w:lvlText w:val="•"/>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41281F66">
      <w:start w:val="1"/>
      <w:numFmt w:val="bullet"/>
      <w:lvlText w:val="o"/>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0B5C144A">
      <w:start w:val="1"/>
      <w:numFmt w:val="bullet"/>
      <w:lvlText w:val="▪"/>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BAF28C32">
      <w:start w:val="1"/>
      <w:numFmt w:val="bullet"/>
      <w:lvlText w:val="•"/>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E9226CEE">
      <w:start w:val="1"/>
      <w:numFmt w:val="bullet"/>
      <w:lvlText w:val="o"/>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7758FCBE">
      <w:start w:val="1"/>
      <w:numFmt w:val="bullet"/>
      <w:lvlText w:val="▪"/>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abstractNum w:abstractNumId="4" w15:restartNumberingAfterBreak="0">
    <w:nsid w:val="7DAC0BBD"/>
    <w:multiLevelType w:val="hybridMultilevel"/>
    <w:tmpl w:val="E70406C6"/>
    <w:lvl w:ilvl="0" w:tplc="1CCC2562">
      <w:start w:val="1"/>
      <w:numFmt w:val="bullet"/>
      <w:lvlText w:val="•"/>
      <w:lvlJc w:val="left"/>
      <w:pPr>
        <w:ind w:left="175"/>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1" w:tplc="686081A2">
      <w:start w:val="1"/>
      <w:numFmt w:val="bullet"/>
      <w:lvlText w:val="o"/>
      <w:lvlJc w:val="left"/>
      <w:pPr>
        <w:ind w:left="10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2" w:tplc="C7685942">
      <w:start w:val="1"/>
      <w:numFmt w:val="bullet"/>
      <w:lvlText w:val="▪"/>
      <w:lvlJc w:val="left"/>
      <w:pPr>
        <w:ind w:left="18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3" w:tplc="8FB46B32">
      <w:start w:val="1"/>
      <w:numFmt w:val="bullet"/>
      <w:lvlText w:val="•"/>
      <w:lvlJc w:val="left"/>
      <w:pPr>
        <w:ind w:left="25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4" w:tplc="B762D898">
      <w:start w:val="1"/>
      <w:numFmt w:val="bullet"/>
      <w:lvlText w:val="o"/>
      <w:lvlJc w:val="left"/>
      <w:pPr>
        <w:ind w:left="324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5" w:tplc="F3162BA2">
      <w:start w:val="1"/>
      <w:numFmt w:val="bullet"/>
      <w:lvlText w:val="▪"/>
      <w:lvlJc w:val="left"/>
      <w:pPr>
        <w:ind w:left="396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6" w:tplc="6E5411B8">
      <w:start w:val="1"/>
      <w:numFmt w:val="bullet"/>
      <w:lvlText w:val="•"/>
      <w:lvlJc w:val="left"/>
      <w:pPr>
        <w:ind w:left="468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7" w:tplc="2AC8C4E2">
      <w:start w:val="1"/>
      <w:numFmt w:val="bullet"/>
      <w:lvlText w:val="o"/>
      <w:lvlJc w:val="left"/>
      <w:pPr>
        <w:ind w:left="540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lvl w:ilvl="8" w:tplc="AD02A4E8">
      <w:start w:val="1"/>
      <w:numFmt w:val="bullet"/>
      <w:lvlText w:val="▪"/>
      <w:lvlJc w:val="left"/>
      <w:pPr>
        <w:ind w:left="6120"/>
      </w:pPr>
      <w:rPr>
        <w:rFonts w:ascii="Times New Roman" w:eastAsia="Times New Roman" w:hAnsi="Times New Roman" w:cs="Times New Roman"/>
        <w:b w:val="0"/>
        <w:i w:val="0"/>
        <w:strike w:val="0"/>
        <w:dstrike w:val="0"/>
        <w:color w:val="181717"/>
        <w:sz w:val="19"/>
        <w:szCs w:val="19"/>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1B"/>
    <w:rsid w:val="001177CA"/>
    <w:rsid w:val="00F95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8330"/>
  <w15:docId w15:val="{766A5420-923C-4D0F-8962-40C775AC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1" w:line="261" w:lineRule="auto"/>
      <w:ind w:left="10" w:right="43" w:hanging="10"/>
      <w:jc w:val="both"/>
    </w:pPr>
    <w:rPr>
      <w:rFonts w:ascii="Times New Roman" w:eastAsia="Times New Roman" w:hAnsi="Times New Roman" w:cs="Times New Roman"/>
      <w:color w:val="181717"/>
      <w:sz w:val="19"/>
    </w:rPr>
  </w:style>
  <w:style w:type="paragraph" w:styleId="Heading1">
    <w:name w:val="heading 1"/>
    <w:next w:val="Normal"/>
    <w:link w:val="Heading1Char"/>
    <w:uiPriority w:val="9"/>
    <w:unhideWhenUsed/>
    <w:qFormat/>
    <w:pPr>
      <w:keepNext/>
      <w:keepLines/>
      <w:spacing w:after="122"/>
      <w:ind w:left="10" w:hanging="10"/>
      <w:outlineLvl w:val="0"/>
    </w:pPr>
    <w:rPr>
      <w:rFonts w:ascii="Arial" w:eastAsia="Arial" w:hAnsi="Arial" w:cs="Arial"/>
      <w:b/>
      <w:color w:val="181717"/>
      <w:sz w:val="24"/>
    </w:rPr>
  </w:style>
  <w:style w:type="paragraph" w:styleId="Heading2">
    <w:name w:val="heading 2"/>
    <w:next w:val="Normal"/>
    <w:link w:val="Heading2Char"/>
    <w:uiPriority w:val="9"/>
    <w:unhideWhenUsed/>
    <w:qFormat/>
    <w:pPr>
      <w:keepNext/>
      <w:keepLines/>
      <w:spacing w:after="122"/>
      <w:ind w:left="10" w:hanging="10"/>
      <w:outlineLvl w:val="1"/>
    </w:pPr>
    <w:rPr>
      <w:rFonts w:ascii="Arial" w:eastAsia="Arial" w:hAnsi="Arial" w:cs="Arial"/>
      <w:b/>
      <w:color w:val="18171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81717"/>
      <w:sz w:val="24"/>
    </w:rPr>
  </w:style>
  <w:style w:type="paragraph" w:customStyle="1" w:styleId="footnotedescription">
    <w:name w:val="footnote description"/>
    <w:next w:val="Normal"/>
    <w:link w:val="footnotedescriptionChar"/>
    <w:hidden/>
    <w:pPr>
      <w:spacing w:after="1" w:line="266" w:lineRule="auto"/>
    </w:pPr>
    <w:rPr>
      <w:rFonts w:ascii="Times New Roman" w:eastAsia="Times New Roman" w:hAnsi="Times New Roman" w:cs="Times New Roman"/>
      <w:i/>
      <w:color w:val="181717"/>
      <w:sz w:val="14"/>
    </w:rPr>
  </w:style>
  <w:style w:type="character" w:customStyle="1" w:styleId="footnotedescriptionChar">
    <w:name w:val="footnote description Char"/>
    <w:link w:val="footnotedescription"/>
    <w:rPr>
      <w:rFonts w:ascii="Times New Roman" w:eastAsia="Times New Roman" w:hAnsi="Times New Roman" w:cs="Times New Roman"/>
      <w:i/>
      <w:color w:val="181717"/>
      <w:sz w:val="14"/>
    </w:rPr>
  </w:style>
  <w:style w:type="character" w:customStyle="1" w:styleId="Heading2Char">
    <w:name w:val="Heading 2 Char"/>
    <w:link w:val="Heading2"/>
    <w:rPr>
      <w:rFonts w:ascii="Arial" w:eastAsia="Arial" w:hAnsi="Arial" w:cs="Arial"/>
      <w:b/>
      <w:color w:val="181717"/>
      <w:sz w:val="24"/>
    </w:rPr>
  </w:style>
  <w:style w:type="character" w:customStyle="1" w:styleId="footnotemark">
    <w:name w:val="footnote mark"/>
    <w:hidden/>
    <w:rPr>
      <w:rFonts w:ascii="Times New Roman" w:eastAsia="Times New Roman" w:hAnsi="Times New Roman" w:cs="Times New Roman"/>
      <w:i/>
      <w:color w:val="181717"/>
      <w:sz w:val="13"/>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ons.gov.uk/people%0Apopulationandcommunity/populationandmigration/population%0Aprojections/compendium/subnationalpopulationprojectionssupplementaryanalysis/2014basedprojections/howthepopulationofenglandisprojectedtoage%20%28accessed%20November%202019%29" TargetMode="External"/><Relationship Id="rId21" Type="http://schemas.openxmlformats.org/officeDocument/2006/relationships/header" Target="header3.xml"/><Relationship Id="rId34" Type="http://schemas.openxmlformats.org/officeDocument/2006/relationships/hyperlink" Target="https://doi.org/10.1093/oxfordjournals.eurheartj.a015360" TargetMode="External"/><Relationship Id="rId42" Type="http://schemas.openxmlformats.org/officeDocument/2006/relationships/hyperlink" Target="https://doi.org/10.1056/NEJMoa0801369" TargetMode="External"/><Relationship Id="rId47" Type="http://schemas.openxmlformats.org/officeDocument/2006/relationships/hyperlink" Target="https://doi.org/10.1161/01.cir.102.https://doi.org/10.1139" TargetMode="External"/><Relationship Id="rId50" Type="http://schemas.openxmlformats.org/officeDocument/2006/relationships/hyperlink" Target="https://doi.org/10.1001/jama.2016.7050" TargetMode="External"/><Relationship Id="rId55" Type="http://schemas.openxmlformats.org/officeDocument/2006/relationships/hyperlink" Target="https://doi.org/10.1093/eurheartj/ehy339" TargetMode="External"/><Relationship Id="rId63" Type="http://schemas.openxmlformats.org/officeDocument/2006/relationships/hyperlink" Target="https://doi.org/10.1161/HYP.0000000000000066" TargetMode="External"/><Relationship Id="rId68" Type="http://schemas.openxmlformats.org/officeDocument/2006/relationships/hyperlink" Target="https://doi.org/10.1161/HYPERTENSIONAHA.109.129882" TargetMode="External"/><Relationship Id="rId76" Type="http://schemas.openxmlformats.org/officeDocument/2006/relationships/hyperlink" Target="https://doi.org/10.1038/ajh.2010.203" TargetMode="External"/><Relationship Id="rId84" Type="http://schemas.openxmlformats.org/officeDocument/2006/relationships/hyperlink" Target="https://doi.org/10.1161/HYPERTENSIONAHA.111.180653" TargetMode="External"/><Relationship Id="rId89" Type="http://schemas.openxmlformats.org/officeDocument/2006/relationships/hyperlink" Target="https://doi.org/10.1161/HYPERTENSIONAHA.112.191791" TargetMode="External"/><Relationship Id="rId97" Type="http://schemas.openxmlformats.org/officeDocument/2006/relationships/header" Target="header5.xml"/><Relationship Id="rId7" Type="http://schemas.openxmlformats.org/officeDocument/2006/relationships/webSettings" Target="webSettings.xml"/><Relationship Id="hyperlink192" Type="http://schemas.openxmlformats.org/officeDocument/2006/relationships/hyperlink" Target="https://www.atlantis-press.com/journals/artres" TargetMode="External"/><Relationship Id="rId71" Type="http://schemas.openxmlformats.org/officeDocument/2006/relationships/hyperlink" Target="https://doi.org/10.1038/hr.2014.149" TargetMode="External"/><Relationship Id="rId92" Type="http://schemas.openxmlformats.org/officeDocument/2006/relationships/hyperlink" Target="https://www.medicines.org.uk/emc/medicine/1946%20%28accessed%20October%202019%29." TargetMode="Externa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doi.org/10.1111/j.1532-5415.2006.00742.x" TargetMode="External"/><Relationship Id="rId11" Type="http://schemas.openxmlformats.org/officeDocument/2006/relationships/hyperlink" Target="https://doi.org/10.2991/artres.k.191106.001" TargetMode="External"/><Relationship Id="rId24" Type="http://schemas.openxmlformats.org/officeDocument/2006/relationships/image" Target="media/image6.jpg"/><Relationship Id="rId32" Type="http://schemas.openxmlformats.org/officeDocument/2006/relationships/hyperlink" Target="https://doi.org/10.1093/oxfordjournals.eurheartj.a015360" TargetMode="External"/><Relationship Id="rId37" Type="http://schemas.openxmlformats.org/officeDocument/2006/relationships/hyperlink" Target="https://doi.org/10.1046/j.1532-5415.2001.49078.x" TargetMode="External"/><Relationship Id="rId40" Type="http://schemas.openxmlformats.org/officeDocument/2006/relationships/hyperlink" Target="https://doi.org/10.1056/NEJMoa0801369" TargetMode="External"/><Relationship Id="rId45" Type="http://schemas.openxmlformats.org/officeDocument/2006/relationships/hyperlink" Target="https://doi.org/10.1161/01.cir.102.https://doi.org/10.1139" TargetMode="External"/><Relationship Id="rId53" Type="http://schemas.openxmlformats.org/officeDocument/2006/relationships/hyperlink" Target="https://doi.org/10.1001/jama.2016.7050" TargetMode="External"/><Relationship Id="rId58" Type="http://schemas.openxmlformats.org/officeDocument/2006/relationships/hyperlink" Target="https://doi.org/10.1161/HYP.0000000000000066" TargetMode="External"/><Relationship Id="rId66" Type="http://schemas.openxmlformats.org/officeDocument/2006/relationships/hyperlink" Target="https://doi.org/10.1161/HYPERTENSIONAHA.109.129882" TargetMode="External"/><Relationship Id="rId74" Type="http://schemas.openxmlformats.org/officeDocument/2006/relationships/hyperlink" Target="https://doi.org/10.1038/ajh.2010.203" TargetMode="External"/><Relationship Id="rId79" Type="http://schemas.openxmlformats.org/officeDocument/2006/relationships/hyperlink" Target="https://doi.org/10.1161/HYPERTENSIONAHA.111.180653" TargetMode="External"/><Relationship Id="rId87" Type="http://schemas.openxmlformats.org/officeDocument/2006/relationships/hyperlink" Target="https://doi.org/10.1161/HYPERTENSIONAHA.112.191791" TargetMode="External"/><Relationship Id="rId5" Type="http://schemas.openxmlformats.org/officeDocument/2006/relationships/styles" Target="styles.xml"/><Relationship Id="rId61" Type="http://schemas.openxmlformats.org/officeDocument/2006/relationships/hyperlink" Target="https://doi.org/10.1161/HYP.0000000000000066" TargetMode="External"/><Relationship Id="rId82" Type="http://schemas.openxmlformats.org/officeDocument/2006/relationships/hyperlink" Target="https://doi.org/10.1161/HYPERTENSIONAHA.111.180653" TargetMode="External"/><Relationship Id="rId90" Type="http://schemas.openxmlformats.org/officeDocument/2006/relationships/hyperlink" Target="https://doi.org/10.1161/HYPERTENSIONAHA.112.191791" TargetMode="External"/><Relationship Id="rId95" Type="http://schemas.openxmlformats.org/officeDocument/2006/relationships/hyperlink" Target="https://www.medicines.org.uk/emc/product/4389%20%28accessed%20November%202019%29" TargetMode="External"/><Relationship Id="rId1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3.jpg"/><Relationship Id="rId27" Type="http://schemas.openxmlformats.org/officeDocument/2006/relationships/hyperlink" Target="https://doi.org/10.1111/j.1532-5415.2006.00742.x" TargetMode="External"/><Relationship Id="rId30" Type="http://schemas.openxmlformats.org/officeDocument/2006/relationships/hyperlink" Target="https://doi.org/10.1111/j.1532-5415.2006.00742.x" TargetMode="External"/><Relationship Id="rId35" Type="http://schemas.openxmlformats.org/officeDocument/2006/relationships/hyperlink" Target="https://doi.org/10.1093/oxfordjournals.eurheartj.a015360" TargetMode="External"/><Relationship Id="rId43" Type="http://schemas.openxmlformats.org/officeDocument/2006/relationships/hyperlink" Target="https://doi.org/10.1161/01.cir.102.https://doi.org/10.1139" TargetMode="External"/><Relationship Id="rId48" Type="http://schemas.openxmlformats.org/officeDocument/2006/relationships/hyperlink" Target="https://doi.org/10.1001/jama.2016.7050" TargetMode="External"/><Relationship Id="rId56" Type="http://schemas.openxmlformats.org/officeDocument/2006/relationships/hyperlink" Target="https://doi.org/10.1093/eurheartj/ehy339" TargetMode="External"/><Relationship Id="rId64" Type="http://schemas.openxmlformats.org/officeDocument/2006/relationships/hyperlink" Target="https://doi.org/10.1161/HYP.0000000000000066" TargetMode="External"/><Relationship Id="rId69" Type="http://schemas.openxmlformats.org/officeDocument/2006/relationships/hyperlink" Target="https://doi.org/10.1161/HYPERTENSIONAHA.109.129882" TargetMode="External"/><Relationship Id="rId77" Type="http://schemas.openxmlformats.org/officeDocument/2006/relationships/hyperlink" Target="https://doi.org/10.1038/ajh.2010.203" TargetMode="External"/><Relationship Id="rId100"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doi.org/10.1001/jama.2016.7050" TargetMode="External"/><Relationship Id="rId72" Type="http://schemas.openxmlformats.org/officeDocument/2006/relationships/hyperlink" Target="https://doi.org/10.1038/hr.2014.149" TargetMode="External"/><Relationship Id="rId80" Type="http://schemas.openxmlformats.org/officeDocument/2006/relationships/hyperlink" Target="https://doi.org/10.1161/HYPERTENSIONAHA.111.180653" TargetMode="External"/><Relationship Id="rId85" Type="http://schemas.openxmlformats.org/officeDocument/2006/relationships/hyperlink" Target="https://doi.org/10.1161/HYPERTENSIONAHA.112.191791" TargetMode="External"/><Relationship Id="rId93" Type="http://schemas.openxmlformats.org/officeDocument/2006/relationships/hyperlink" Target="https://www.medicines.org.uk/emc/medicine/1946%20%28accessed%20October%202019%29." TargetMode="External"/><Relationship Id="rId98"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hyperlink" Target="https://www.atlantis-press.com/journals/artres" TargetMode="External"/><Relationship Id="rId17" Type="http://schemas.openxmlformats.org/officeDocument/2006/relationships/hyperlink" Target="http://creativecommons.org/licenses/by-nc/4.0/" TargetMode="External"/><Relationship Id="rId25" Type="http://schemas.openxmlformats.org/officeDocument/2006/relationships/hyperlink" Target="https://www.ons.gov.uk/people%0Apopulationandcommunity/populationandmigration/population%0Aprojections/compendium/subnationalpopulationprojectionssupplementaryanalysis/2014basedprojections/howthepopulationofenglandisprojectedtoage%20%28accessed%20November%202019%29" TargetMode="External"/><Relationship Id="rId33" Type="http://schemas.openxmlformats.org/officeDocument/2006/relationships/hyperlink" Target="https://doi.org/10.1093/oxfordjournals.eurheartj.a015360" TargetMode="External"/><Relationship Id="rId38" Type="http://schemas.openxmlformats.org/officeDocument/2006/relationships/hyperlink" Target="https://doi.org/10.1046/j.1532-5415.2001.49078.x" TargetMode="External"/><Relationship Id="rId46" Type="http://schemas.openxmlformats.org/officeDocument/2006/relationships/hyperlink" Target="https://doi.org/10.1161/01.cir.102.https://doi.org/10.1139" TargetMode="External"/><Relationship Id="rId59" Type="http://schemas.openxmlformats.org/officeDocument/2006/relationships/hyperlink" Target="https://doi.org/10.1161/HYP.0000000000000066" TargetMode="External"/><Relationship Id="rId67" Type="http://schemas.openxmlformats.org/officeDocument/2006/relationships/hyperlink" Target="https://doi.org/10.1161/HYPERTENSIONAHA.109.129882" TargetMode="External"/><Relationship Id="rId20" Type="http://schemas.openxmlformats.org/officeDocument/2006/relationships/header" Target="header2.xml"/><Relationship Id="rId41" Type="http://schemas.openxmlformats.org/officeDocument/2006/relationships/hyperlink" Target="https://doi.org/10.1056/NEJMoa0801369" TargetMode="External"/><Relationship Id="rId54" Type="http://schemas.openxmlformats.org/officeDocument/2006/relationships/hyperlink" Target="https://doi.org/10.1001/jama.2016.7050" TargetMode="External"/><Relationship Id="rId62" Type="http://schemas.openxmlformats.org/officeDocument/2006/relationships/hyperlink" Target="https://doi.org/10.1161/HYP.0000000000000066" TargetMode="External"/><Relationship Id="rId70" Type="http://schemas.openxmlformats.org/officeDocument/2006/relationships/hyperlink" Target="https://doi.org/10.1038/hr.2014.149" TargetMode="External"/><Relationship Id="rId75" Type="http://schemas.openxmlformats.org/officeDocument/2006/relationships/hyperlink" Target="https://doi.org/10.1038/ajh.2010.203" TargetMode="External"/><Relationship Id="rId83" Type="http://schemas.openxmlformats.org/officeDocument/2006/relationships/hyperlink" Target="https://doi.org/10.1161/HYPERTENSIONAHA.111.180653" TargetMode="External"/><Relationship Id="rId88" Type="http://schemas.openxmlformats.org/officeDocument/2006/relationships/hyperlink" Target="https://doi.org/10.1161/HYPERTENSIONAHA.112.191791" TargetMode="External"/><Relationship Id="rId91" Type="http://schemas.openxmlformats.org/officeDocument/2006/relationships/hyperlink" Target="https://doi.org/10.1161/HYPERTENSIONAHA.112.191791" TargetMode="External"/><Relationship Id="rId9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hyperlink191" Type="http://schemas.openxmlformats.org/officeDocument/2006/relationships/hyperlink" Target="https://doi.org/10.2991/artres.k.191106.001" TargetMode="External"/><Relationship Id="rId15" Type="http://schemas.openxmlformats.org/officeDocument/2006/relationships/image" Target="media/image0.jpg"/><Relationship Id="rId23" Type="http://schemas.openxmlformats.org/officeDocument/2006/relationships/image" Target="media/image5.png"/><Relationship Id="rId28" Type="http://schemas.openxmlformats.org/officeDocument/2006/relationships/hyperlink" Target="https://doi.org/10.1111/j.1532-5415.2006.00742.x" TargetMode="External"/><Relationship Id="rId36" Type="http://schemas.openxmlformats.org/officeDocument/2006/relationships/hyperlink" Target="https://doi.org/10.1046/j.1532-5415.2001.49078.x" TargetMode="External"/><Relationship Id="rId49" Type="http://schemas.openxmlformats.org/officeDocument/2006/relationships/hyperlink" Target="https://doi.org/10.1001/jama.2016.7050" TargetMode="External"/><Relationship Id="rId57" Type="http://schemas.openxmlformats.org/officeDocument/2006/relationships/hyperlink" Target="https://doi.org/10.1093/eurheartj/ehy339" TargetMode="External"/><Relationship Id="rId10" Type="http://schemas.openxmlformats.org/officeDocument/2006/relationships/hyperlink" Target="https://doi.org/10.2991/artres.k.191106.001" TargetMode="External"/><Relationship Id="rId31" Type="http://schemas.openxmlformats.org/officeDocument/2006/relationships/hyperlink" Target="https://doi.org/10.1111/j.1532-5415.2006.00742.x" TargetMode="External"/><Relationship Id="rId44" Type="http://schemas.openxmlformats.org/officeDocument/2006/relationships/hyperlink" Target="https://doi.org/10.1161/01.cir.102.https://doi.org/10.1139" TargetMode="External"/><Relationship Id="rId52" Type="http://schemas.openxmlformats.org/officeDocument/2006/relationships/hyperlink" Target="https://doi.org/10.1001/jama.2016.7050" TargetMode="External"/><Relationship Id="rId60" Type="http://schemas.openxmlformats.org/officeDocument/2006/relationships/hyperlink" Target="https://doi.org/10.1161/HYP.0000000000000066" TargetMode="External"/><Relationship Id="rId65" Type="http://schemas.openxmlformats.org/officeDocument/2006/relationships/hyperlink" Target="https://doi.org/10.1161/HYPERTENSIONAHA.109.129882" TargetMode="External"/><Relationship Id="rId73" Type="http://schemas.openxmlformats.org/officeDocument/2006/relationships/hyperlink" Target="https://doi.org/10.1038/hr.2014.149" TargetMode="External"/><Relationship Id="rId78" Type="http://schemas.openxmlformats.org/officeDocument/2006/relationships/hyperlink" Target="https://doi.org/10.1161/HYPERTENSIONAHA.111.180653" TargetMode="External"/><Relationship Id="rId81" Type="http://schemas.openxmlformats.org/officeDocument/2006/relationships/hyperlink" Target="https://doi.org/10.1161/HYPERTENSIONAHA.111.180653" TargetMode="External"/><Relationship Id="rId86" Type="http://schemas.openxmlformats.org/officeDocument/2006/relationships/hyperlink" Target="https://doi.org/10.1161/HYPERTENSIONAHA.112.191791" TargetMode="External"/><Relationship Id="rId94" Type="http://schemas.openxmlformats.org/officeDocument/2006/relationships/hyperlink" Target="https://www.medicines.org.uk/emc/product/4389%20%28accessed%20November%202019%29" TargetMode="External"/><Relationship Id="rId9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hyperlink" Target="http://creativecommons.org/licenses/by-nc/4.0/" TargetMode="External"/><Relationship Id="rId39" Type="http://schemas.openxmlformats.org/officeDocument/2006/relationships/hyperlink" Target="https://doi.org/10.1056/NEJMoa08013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8BC00E639CDE42AB9986B41AC924DC" ma:contentTypeVersion="4" ma:contentTypeDescription="Create a new document." ma:contentTypeScope="" ma:versionID="71a811df03f6066494d427d7150a0fa7">
  <xsd:schema xmlns:xsd="http://www.w3.org/2001/XMLSchema" xmlns:xs="http://www.w3.org/2001/XMLSchema" xmlns:p="http://schemas.microsoft.com/office/2006/metadata/properties" xmlns:ns3="b413c008-0626-4bc5-9316-82cc331f7aac" targetNamespace="http://schemas.microsoft.com/office/2006/metadata/properties" ma:root="true" ma:fieldsID="fd7f2c0bbb8cf91ef9593f7f0e25a4e3" ns3:_="">
    <xsd:import namespace="b413c008-0626-4bc5-9316-82cc331f7a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008-0626-4bc5-9316-82cc331f7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418488-54CC-4D42-A177-1C538702B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008-0626-4bc5-9316-82cc331f7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500B7-CD2D-4D19-A2A1-036834DF42D1}">
  <ds:schemaRefs>
    <ds:schemaRef ds:uri="http://schemas.microsoft.com/sharepoint/v3/contenttype/forms"/>
  </ds:schemaRefs>
</ds:datastoreItem>
</file>

<file path=customXml/itemProps3.xml><?xml version="1.0" encoding="utf-8"?>
<ds:datastoreItem xmlns:ds="http://schemas.openxmlformats.org/officeDocument/2006/customXml" ds:itemID="{92B5BDF6-B190-4196-AEA5-4FCE151F1B52}">
  <ds:schemaRefs>
    <ds:schemaRef ds:uri="b413c008-0626-4bc5-9316-82cc331f7aac"/>
    <ds:schemaRef ds:uri="http://schemas.microsoft.com/office/infopath/2007/PartnerControl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4541</Words>
  <Characters>25886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Perry</dc:creator>
  <cp:keywords/>
  <cp:lastModifiedBy>Nicky Perry</cp:lastModifiedBy>
  <cp:revision>2</cp:revision>
  <dcterms:created xsi:type="dcterms:W3CDTF">2020-04-02T10:56:00Z</dcterms:created>
  <dcterms:modified xsi:type="dcterms:W3CDTF">2020-04-02T10:56:00Z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0x0101000C8BC00E639CDE42AB9986B41AC924DC</vt:lpwstr>
  </property>
</Properties>
</file>