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6947"/>
      </w:tblGrid>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keepNext/>
              <w:spacing w:after="0" w:line="240" w:lineRule="auto"/>
              <w:outlineLvl w:val="0"/>
              <w:rPr>
                <w:rFonts w:ascii="Arial" w:eastAsia="Times New Roman" w:hAnsi="Arial" w:cs="Arial"/>
                <w:b/>
                <w:sz w:val="20"/>
                <w:szCs w:val="20"/>
                <w:lang w:eastAsia="en-GB"/>
              </w:rPr>
            </w:pPr>
            <w:bookmarkStart w:id="0" w:name="_GoBack"/>
            <w:bookmarkEnd w:id="0"/>
            <w:r w:rsidRPr="00C608DA">
              <w:rPr>
                <w:rFonts w:ascii="Arial" w:eastAsia="Times New Roman" w:hAnsi="Arial" w:cs="Arial"/>
                <w:b/>
                <w:sz w:val="20"/>
                <w:szCs w:val="20"/>
                <w:lang w:eastAsia="en-GB"/>
              </w:rPr>
              <w:t>Title</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Developmental Paediatrics</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Code</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MDM160</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Level</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7</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Credit rating</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20 Credits</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Pre-requisites</w:t>
            </w:r>
          </w:p>
        </w:tc>
        <w:tc>
          <w:tcPr>
            <w:tcW w:w="6947" w:type="dxa"/>
            <w:tcBorders>
              <w:top w:val="single" w:sz="4" w:space="0" w:color="auto"/>
              <w:left w:val="single" w:sz="4" w:space="0" w:color="auto"/>
              <w:bottom w:val="single" w:sz="4" w:space="0" w:color="auto"/>
              <w:right w:val="single" w:sz="4" w:space="0" w:color="auto"/>
            </w:tcBorders>
          </w:tcPr>
          <w:p w:rsidR="00E24DC3" w:rsidRPr="001010C7" w:rsidRDefault="00E24DC3" w:rsidP="009C3152">
            <w:pPr>
              <w:spacing w:after="0" w:line="240" w:lineRule="auto"/>
              <w:ind w:right="95"/>
              <w:rPr>
                <w:rFonts w:ascii="Arial" w:eastAsia="Times New Roman" w:hAnsi="Arial" w:cs="Arial"/>
                <w:sz w:val="20"/>
                <w:szCs w:val="20"/>
                <w:lang w:eastAsia="en-GB"/>
              </w:rPr>
            </w:pPr>
            <w:r w:rsidRPr="001010C7">
              <w:rPr>
                <w:rFonts w:ascii="Arial" w:eastAsia="Times New Roman" w:hAnsi="Arial" w:cs="Arial"/>
                <w:sz w:val="20"/>
                <w:szCs w:val="20"/>
                <w:lang w:eastAsia="en-GB"/>
              </w:rPr>
              <w:t>This module is aimed at paediatricians and other health care</w:t>
            </w:r>
          </w:p>
          <w:p w:rsidR="00E24DC3" w:rsidRPr="00C608DA" w:rsidRDefault="00E24DC3" w:rsidP="009C3152">
            <w:pPr>
              <w:spacing w:after="0" w:line="240" w:lineRule="auto"/>
              <w:ind w:right="95"/>
              <w:rPr>
                <w:rFonts w:ascii="Arial" w:eastAsia="Times New Roman" w:hAnsi="Arial" w:cs="Arial"/>
                <w:sz w:val="20"/>
                <w:szCs w:val="20"/>
                <w:lang w:eastAsia="en-GB"/>
              </w:rPr>
            </w:pPr>
            <w:r w:rsidRPr="001010C7">
              <w:rPr>
                <w:rFonts w:ascii="Arial" w:eastAsia="Times New Roman" w:hAnsi="Arial" w:cs="Arial"/>
                <w:sz w:val="20"/>
                <w:szCs w:val="20"/>
                <w:lang w:eastAsia="en-GB"/>
              </w:rPr>
              <w:t>profess</w:t>
            </w:r>
            <w:r>
              <w:rPr>
                <w:rFonts w:ascii="Arial" w:eastAsia="Times New Roman" w:hAnsi="Arial" w:cs="Arial"/>
                <w:sz w:val="20"/>
                <w:szCs w:val="20"/>
                <w:lang w:eastAsia="en-GB"/>
              </w:rPr>
              <w:t>ionals who wish to enhance their understanding of developmental paediatric conditions.</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Type of module</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 days delivered over a week – Mo-Fri</w:t>
            </w:r>
          </w:p>
          <w:p w:rsidR="00E24DC3" w:rsidRPr="00C608DA" w:rsidRDefault="00E24DC3" w:rsidP="009C3152">
            <w:pPr>
              <w:spacing w:after="0" w:line="240" w:lineRule="auto"/>
              <w:rPr>
                <w:rFonts w:ascii="Arial" w:eastAsia="Times New Roman" w:hAnsi="Arial" w:cs="Arial"/>
                <w:sz w:val="20"/>
                <w:szCs w:val="20"/>
                <w:lang w:eastAsia="en-GB"/>
              </w:rPr>
            </w:pP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Aims</w:t>
            </w:r>
          </w:p>
        </w:tc>
        <w:tc>
          <w:tcPr>
            <w:tcW w:w="6947" w:type="dxa"/>
            <w:tcBorders>
              <w:top w:val="single" w:sz="4" w:space="0" w:color="auto"/>
              <w:left w:val="single" w:sz="4" w:space="0" w:color="auto"/>
              <w:bottom w:val="single" w:sz="4" w:space="0" w:color="auto"/>
              <w:right w:val="single" w:sz="4" w:space="0" w:color="auto"/>
            </w:tcBorders>
          </w:tcPr>
          <w:p w:rsidR="00E24DC3" w:rsidRDefault="00E24DC3"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This module aims to:</w:t>
            </w:r>
          </w:p>
          <w:p w:rsidR="00E24DC3" w:rsidRPr="00C608DA" w:rsidRDefault="00E24DC3" w:rsidP="009C3152">
            <w:pPr>
              <w:spacing w:after="0" w:line="240" w:lineRule="auto"/>
              <w:rPr>
                <w:rFonts w:ascii="Arial" w:eastAsia="Times New Roman" w:hAnsi="Arial" w:cs="Arial"/>
                <w:sz w:val="20"/>
                <w:szCs w:val="20"/>
                <w:lang w:eastAsia="en-GB"/>
              </w:rPr>
            </w:pPr>
          </w:p>
          <w:p w:rsidR="00E24DC3" w:rsidRPr="00E279C2" w:rsidRDefault="00CA7C7B" w:rsidP="00E279C2">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Enhance knowledge</w:t>
            </w:r>
            <w:r w:rsidR="00E24DC3" w:rsidRPr="00E279C2">
              <w:rPr>
                <w:rFonts w:ascii="Arial" w:eastAsia="Times New Roman" w:hAnsi="Arial" w:cs="Arial"/>
                <w:sz w:val="20"/>
                <w:szCs w:val="20"/>
                <w:lang w:eastAsia="en-GB"/>
              </w:rPr>
              <w:t xml:space="preserve"> of developmental paediatric conditions and safeguarding.</w:t>
            </w:r>
          </w:p>
          <w:p w:rsidR="00E24DC3" w:rsidRPr="00C608DA" w:rsidRDefault="00E24DC3" w:rsidP="009C3152">
            <w:pPr>
              <w:spacing w:after="0" w:line="240" w:lineRule="auto"/>
              <w:rPr>
                <w:rFonts w:ascii="Arial" w:eastAsia="Times New Roman" w:hAnsi="Arial" w:cs="Arial"/>
                <w:sz w:val="20"/>
                <w:szCs w:val="20"/>
                <w:lang w:eastAsia="en-GB"/>
              </w:rPr>
            </w:pPr>
          </w:p>
          <w:p w:rsidR="00E24DC3" w:rsidRPr="00E279C2" w:rsidRDefault="00E24DC3" w:rsidP="00E279C2">
            <w:pPr>
              <w:pStyle w:val="ListParagraph"/>
              <w:numPr>
                <w:ilvl w:val="0"/>
                <w:numId w:val="6"/>
              </w:numPr>
              <w:spacing w:after="0" w:line="240" w:lineRule="auto"/>
              <w:rPr>
                <w:rFonts w:ascii="Arial" w:eastAsia="Times New Roman" w:hAnsi="Arial" w:cs="Arial"/>
                <w:sz w:val="20"/>
                <w:szCs w:val="20"/>
                <w:lang w:eastAsia="en-GB"/>
              </w:rPr>
            </w:pPr>
            <w:r w:rsidRPr="00E279C2">
              <w:rPr>
                <w:rFonts w:ascii="Arial" w:eastAsia="Times New Roman" w:hAnsi="Arial" w:cs="Arial"/>
                <w:sz w:val="20"/>
                <w:szCs w:val="20"/>
                <w:lang w:eastAsia="en-GB"/>
              </w:rPr>
              <w:t>Develop understanding of integrated service design and delivery.</w:t>
            </w:r>
          </w:p>
          <w:p w:rsidR="00E24DC3" w:rsidRPr="00C608DA" w:rsidRDefault="00E24DC3" w:rsidP="009C3152">
            <w:pPr>
              <w:spacing w:after="0" w:line="240" w:lineRule="auto"/>
              <w:rPr>
                <w:rFonts w:ascii="Arial" w:eastAsia="Times New Roman" w:hAnsi="Arial" w:cs="Arial"/>
                <w:sz w:val="20"/>
                <w:szCs w:val="20"/>
                <w:lang w:eastAsia="en-GB"/>
              </w:rPr>
            </w:pPr>
          </w:p>
          <w:p w:rsidR="00E24DC3" w:rsidRDefault="00E24DC3" w:rsidP="00E279C2">
            <w:pPr>
              <w:pStyle w:val="ListParagraph"/>
              <w:numPr>
                <w:ilvl w:val="0"/>
                <w:numId w:val="6"/>
              </w:numPr>
              <w:spacing w:after="0" w:line="240" w:lineRule="auto"/>
              <w:rPr>
                <w:rFonts w:ascii="Arial" w:eastAsia="Times New Roman" w:hAnsi="Arial" w:cs="Arial"/>
                <w:sz w:val="20"/>
                <w:szCs w:val="20"/>
                <w:lang w:eastAsia="en-GB"/>
              </w:rPr>
            </w:pPr>
            <w:r w:rsidRPr="00E24DC3">
              <w:rPr>
                <w:rFonts w:ascii="Arial" w:eastAsia="Times New Roman" w:hAnsi="Arial" w:cs="Arial"/>
                <w:sz w:val="20"/>
                <w:szCs w:val="20"/>
                <w:lang w:eastAsia="en-GB"/>
              </w:rPr>
              <w:t>Deepen students’ knowledge and clinical approaches to critical areas such as safeguarding, vulnerable children, child public health, and sleep.</w:t>
            </w:r>
          </w:p>
          <w:p w:rsidR="00E279C2" w:rsidRPr="00E279C2" w:rsidRDefault="00E279C2" w:rsidP="00E279C2">
            <w:pPr>
              <w:pStyle w:val="ListParagraph"/>
              <w:rPr>
                <w:rFonts w:ascii="Arial" w:eastAsia="Times New Roman" w:hAnsi="Arial" w:cs="Arial"/>
                <w:sz w:val="20"/>
                <w:szCs w:val="20"/>
                <w:lang w:eastAsia="en-GB"/>
              </w:rPr>
            </w:pPr>
          </w:p>
          <w:p w:rsidR="00E279C2" w:rsidRDefault="00E279C2" w:rsidP="00E279C2">
            <w:pPr>
              <w:pStyle w:val="ListParagraph"/>
              <w:numPr>
                <w:ilvl w:val="0"/>
                <w:numId w:val="6"/>
              </w:numPr>
              <w:spacing w:after="0" w:line="240" w:lineRule="auto"/>
              <w:rPr>
                <w:rFonts w:ascii="Arial" w:eastAsia="Times New Roman" w:hAnsi="Arial" w:cs="Arial"/>
                <w:sz w:val="20"/>
                <w:szCs w:val="20"/>
                <w:lang w:eastAsia="en-GB"/>
              </w:rPr>
            </w:pPr>
            <w:r w:rsidRPr="00E279C2">
              <w:rPr>
                <w:rFonts w:ascii="Arial" w:eastAsia="Times New Roman" w:hAnsi="Arial" w:cs="Arial"/>
                <w:sz w:val="20"/>
                <w:szCs w:val="20"/>
                <w:lang w:eastAsia="en-GB"/>
              </w:rPr>
              <w:t>Enable students to develop practical skills in how paediatric and child health professionals can organise clinics and their working day, whilst maintaining their wellbeing</w:t>
            </w:r>
            <w:r>
              <w:rPr>
                <w:rFonts w:ascii="Arial" w:eastAsia="Times New Roman" w:hAnsi="Arial" w:cs="Arial"/>
                <w:sz w:val="20"/>
                <w:szCs w:val="20"/>
                <w:lang w:eastAsia="en-GB"/>
              </w:rPr>
              <w:t>.</w:t>
            </w:r>
          </w:p>
          <w:p w:rsidR="00E279C2" w:rsidRPr="00CA7C7B" w:rsidRDefault="00E279C2" w:rsidP="00CA7C7B">
            <w:pPr>
              <w:spacing w:after="0" w:line="240" w:lineRule="auto"/>
              <w:rPr>
                <w:rFonts w:ascii="Arial" w:eastAsia="Times New Roman" w:hAnsi="Arial" w:cs="Arial"/>
                <w:sz w:val="20"/>
                <w:szCs w:val="20"/>
                <w:lang w:eastAsia="en-GB"/>
              </w:rPr>
            </w:pPr>
          </w:p>
          <w:p w:rsidR="00E24DC3" w:rsidRPr="00C608DA" w:rsidRDefault="00E279C2" w:rsidP="009C3152">
            <w:pPr>
              <w:spacing w:after="0" w:line="240" w:lineRule="auto"/>
              <w:rPr>
                <w:rFonts w:ascii="Arial" w:eastAsia="Times New Roman" w:hAnsi="Arial" w:cs="Arial"/>
                <w:sz w:val="20"/>
                <w:szCs w:val="20"/>
                <w:lang w:eastAsia="en-GB"/>
              </w:rPr>
            </w:pPr>
            <w:r w:rsidRPr="00E279C2">
              <w:rPr>
                <w:rFonts w:ascii="Arial" w:eastAsia="Times New Roman" w:hAnsi="Arial" w:cs="Arial"/>
                <w:sz w:val="20"/>
                <w:szCs w:val="20"/>
                <w:lang w:eastAsia="en-GB"/>
              </w:rPr>
              <w:t>The module aims to cover aspects of developmental and community paediatrics that are important to clinical care but are often not addressed by traditional teaching. The module also aims to cover safeguarding comprehensively. It is envisaged that uniquely, the module emphasises the importance of service design so students are equipped to contribute to transformational change in their working environment.</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outcomes/objectives</w:t>
            </w:r>
          </w:p>
        </w:tc>
        <w:tc>
          <w:tcPr>
            <w:tcW w:w="6947" w:type="dxa"/>
            <w:tcBorders>
              <w:top w:val="single" w:sz="4" w:space="0" w:color="auto"/>
              <w:left w:val="single" w:sz="4" w:space="0" w:color="auto"/>
              <w:bottom w:val="single" w:sz="4" w:space="0" w:color="auto"/>
              <w:right w:val="single" w:sz="4" w:space="0" w:color="auto"/>
            </w:tcBorders>
          </w:tcPr>
          <w:p w:rsidR="00E24DC3" w:rsidRDefault="00E24DC3" w:rsidP="009C3152">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Upon successful completion of the module, students should be able to:</w:t>
            </w:r>
          </w:p>
          <w:p w:rsidR="00E24DC3" w:rsidRPr="001010C7" w:rsidRDefault="00E24DC3" w:rsidP="009C3152">
            <w:pPr>
              <w:spacing w:after="0" w:line="240" w:lineRule="auto"/>
              <w:ind w:left="360" w:right="95"/>
              <w:jc w:val="both"/>
              <w:rPr>
                <w:rFonts w:ascii="Arial" w:eastAsia="Times New Roman" w:hAnsi="Arial" w:cs="Arial"/>
                <w:sz w:val="20"/>
                <w:szCs w:val="20"/>
                <w:lang w:eastAsia="en-GB"/>
              </w:rPr>
            </w:pPr>
          </w:p>
          <w:p w:rsidR="00E279C2"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ILO1 </w:t>
            </w:r>
            <w:r w:rsidRPr="00E279C2">
              <w:rPr>
                <w:rFonts w:ascii="Arial" w:eastAsia="Times New Roman" w:hAnsi="Arial" w:cs="Arial"/>
                <w:sz w:val="20"/>
                <w:szCs w:val="20"/>
                <w:lang w:eastAsia="en-GB"/>
              </w:rPr>
              <w:t>Demonstrate a systematic understanding of a condition frequently managed by developmental and community health care professionals and critically evaluate current approaches to management</w:t>
            </w:r>
            <w:r>
              <w:rPr>
                <w:rFonts w:ascii="Arial" w:eastAsia="Times New Roman" w:hAnsi="Arial" w:cs="Arial"/>
                <w:sz w:val="20"/>
                <w:szCs w:val="20"/>
                <w:lang w:eastAsia="en-GB"/>
              </w:rPr>
              <w:t>.</w:t>
            </w:r>
          </w:p>
          <w:p w:rsidR="00E279C2" w:rsidRPr="00E279C2" w:rsidRDefault="00E279C2" w:rsidP="00E279C2">
            <w:pPr>
              <w:spacing w:after="0" w:line="240" w:lineRule="auto"/>
              <w:ind w:left="360" w:right="95"/>
              <w:jc w:val="both"/>
              <w:rPr>
                <w:rFonts w:ascii="Arial" w:eastAsia="Times New Roman" w:hAnsi="Arial" w:cs="Arial"/>
                <w:sz w:val="20"/>
                <w:szCs w:val="20"/>
                <w:lang w:eastAsia="en-GB"/>
              </w:rPr>
            </w:pPr>
          </w:p>
          <w:p w:rsidR="00E279C2"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ILO2 </w:t>
            </w:r>
            <w:r w:rsidRPr="00E279C2">
              <w:rPr>
                <w:rFonts w:ascii="Arial" w:eastAsia="Times New Roman" w:hAnsi="Arial" w:cs="Arial"/>
                <w:sz w:val="20"/>
                <w:szCs w:val="20"/>
                <w:lang w:eastAsia="en-GB"/>
              </w:rPr>
              <w:t>Design an appropriate management pathway for children with a clinical condition frequently seen by developmental and community health care professionals</w:t>
            </w:r>
            <w:r>
              <w:rPr>
                <w:rFonts w:ascii="Arial" w:eastAsia="Times New Roman" w:hAnsi="Arial" w:cs="Arial"/>
                <w:sz w:val="20"/>
                <w:szCs w:val="20"/>
                <w:lang w:eastAsia="en-GB"/>
              </w:rPr>
              <w:t>.</w:t>
            </w:r>
          </w:p>
          <w:p w:rsidR="00E279C2" w:rsidRPr="00E279C2" w:rsidRDefault="00E279C2" w:rsidP="00E279C2">
            <w:pPr>
              <w:spacing w:after="0" w:line="240" w:lineRule="auto"/>
              <w:ind w:left="360" w:right="95"/>
              <w:jc w:val="both"/>
              <w:rPr>
                <w:rFonts w:ascii="Arial" w:eastAsia="Times New Roman" w:hAnsi="Arial" w:cs="Arial"/>
                <w:sz w:val="20"/>
                <w:szCs w:val="20"/>
                <w:lang w:eastAsia="en-GB"/>
              </w:rPr>
            </w:pPr>
          </w:p>
          <w:p w:rsidR="00E279C2"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ILO3 </w:t>
            </w:r>
            <w:r w:rsidRPr="00E279C2">
              <w:rPr>
                <w:rFonts w:ascii="Arial" w:eastAsia="Times New Roman" w:hAnsi="Arial" w:cs="Arial"/>
                <w:sz w:val="20"/>
                <w:szCs w:val="20"/>
                <w:lang w:eastAsia="en-GB"/>
              </w:rPr>
              <w:t>Apply specialised, professional problem solving skills to complex and sensitive cases</w:t>
            </w:r>
            <w:r>
              <w:rPr>
                <w:rFonts w:ascii="Arial" w:eastAsia="Times New Roman" w:hAnsi="Arial" w:cs="Arial"/>
                <w:sz w:val="20"/>
                <w:szCs w:val="20"/>
                <w:lang w:eastAsia="en-GB"/>
              </w:rPr>
              <w:t>.</w:t>
            </w:r>
          </w:p>
          <w:p w:rsidR="00E279C2" w:rsidRPr="00E279C2" w:rsidRDefault="00E279C2" w:rsidP="00E279C2">
            <w:pPr>
              <w:spacing w:after="0" w:line="240" w:lineRule="auto"/>
              <w:ind w:left="360" w:right="95"/>
              <w:jc w:val="both"/>
              <w:rPr>
                <w:rFonts w:ascii="Arial" w:eastAsia="Times New Roman" w:hAnsi="Arial" w:cs="Arial"/>
                <w:sz w:val="20"/>
                <w:szCs w:val="20"/>
                <w:lang w:eastAsia="en-GB"/>
              </w:rPr>
            </w:pPr>
          </w:p>
          <w:p w:rsidR="00E279C2" w:rsidRPr="00E279C2"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ILO4 </w:t>
            </w:r>
            <w:r w:rsidRPr="00E279C2">
              <w:rPr>
                <w:rFonts w:ascii="Arial" w:eastAsia="Times New Roman" w:hAnsi="Arial" w:cs="Arial"/>
                <w:sz w:val="20"/>
                <w:szCs w:val="20"/>
                <w:lang w:eastAsia="en-GB"/>
              </w:rPr>
              <w:t>Demonstrate a comprehensive understanding of safeguarding and recognise indicators for child abuse and neglect</w:t>
            </w:r>
            <w:r>
              <w:rPr>
                <w:rFonts w:ascii="Arial" w:eastAsia="Times New Roman" w:hAnsi="Arial" w:cs="Arial"/>
                <w:sz w:val="20"/>
                <w:szCs w:val="20"/>
                <w:lang w:eastAsia="en-GB"/>
              </w:rPr>
              <w:t>.</w:t>
            </w:r>
          </w:p>
          <w:p w:rsidR="00E279C2" w:rsidRDefault="00E279C2" w:rsidP="00E279C2">
            <w:pPr>
              <w:spacing w:after="0" w:line="240" w:lineRule="auto"/>
              <w:ind w:left="360" w:right="95"/>
              <w:jc w:val="both"/>
              <w:rPr>
                <w:rFonts w:ascii="Arial" w:eastAsia="Times New Roman" w:hAnsi="Arial" w:cs="Arial"/>
                <w:sz w:val="20"/>
                <w:szCs w:val="20"/>
                <w:lang w:eastAsia="en-GB"/>
              </w:rPr>
            </w:pPr>
          </w:p>
          <w:p w:rsidR="00E279C2"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ILO5 </w:t>
            </w:r>
            <w:r w:rsidRPr="00E279C2">
              <w:rPr>
                <w:rFonts w:ascii="Arial" w:eastAsia="Times New Roman" w:hAnsi="Arial" w:cs="Arial"/>
                <w:sz w:val="20"/>
                <w:szCs w:val="20"/>
                <w:lang w:eastAsia="en-GB"/>
              </w:rPr>
              <w:t>Recognise and reflect on own role and responsibilities and those of others in safeguarding and promoting the welfare of children</w:t>
            </w:r>
            <w:r>
              <w:rPr>
                <w:rFonts w:ascii="Arial" w:eastAsia="Times New Roman" w:hAnsi="Arial" w:cs="Arial"/>
                <w:sz w:val="20"/>
                <w:szCs w:val="20"/>
                <w:lang w:eastAsia="en-GB"/>
              </w:rPr>
              <w:t>.</w:t>
            </w:r>
          </w:p>
          <w:p w:rsidR="00E279C2" w:rsidRPr="00E279C2" w:rsidRDefault="00E279C2" w:rsidP="00E279C2">
            <w:pPr>
              <w:spacing w:after="0" w:line="240" w:lineRule="auto"/>
              <w:ind w:left="360" w:right="95"/>
              <w:jc w:val="both"/>
              <w:rPr>
                <w:rFonts w:ascii="Arial" w:eastAsia="Times New Roman" w:hAnsi="Arial" w:cs="Arial"/>
                <w:sz w:val="20"/>
                <w:szCs w:val="20"/>
                <w:lang w:eastAsia="en-GB"/>
              </w:rPr>
            </w:pPr>
          </w:p>
          <w:p w:rsidR="00E24DC3" w:rsidRPr="00C608DA" w:rsidRDefault="00E279C2" w:rsidP="00E279C2">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ILO6 </w:t>
            </w:r>
            <w:r w:rsidRPr="00E279C2">
              <w:rPr>
                <w:rFonts w:ascii="Arial" w:eastAsia="Times New Roman" w:hAnsi="Arial" w:cs="Arial"/>
                <w:sz w:val="20"/>
                <w:szCs w:val="20"/>
                <w:lang w:eastAsia="en-GB"/>
              </w:rPr>
              <w:t>Apply comprehensive understanding and professional skills related to developmental paediatrics to manage a case</w:t>
            </w:r>
            <w:r>
              <w:rPr>
                <w:rFonts w:ascii="Arial" w:eastAsia="Times New Roman" w:hAnsi="Arial" w:cs="Arial"/>
                <w:sz w:val="20"/>
                <w:szCs w:val="20"/>
                <w:lang w:eastAsia="en-GB"/>
              </w:rPr>
              <w:t>.</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Content</w:t>
            </w:r>
          </w:p>
        </w:tc>
        <w:tc>
          <w:tcPr>
            <w:tcW w:w="6947" w:type="dxa"/>
            <w:tcBorders>
              <w:top w:val="single" w:sz="4" w:space="0" w:color="auto"/>
              <w:left w:val="single" w:sz="4" w:space="0" w:color="auto"/>
              <w:bottom w:val="single" w:sz="4" w:space="0" w:color="auto"/>
              <w:right w:val="single" w:sz="4" w:space="0" w:color="auto"/>
            </w:tcBorders>
            <w:hideMark/>
          </w:tcPr>
          <w:p w:rsidR="00E24DC3" w:rsidRPr="001010C7" w:rsidRDefault="00E30B58" w:rsidP="009C3152">
            <w:pPr>
              <w:spacing w:after="0" w:line="240" w:lineRule="auto"/>
              <w:ind w:left="60"/>
              <w:rPr>
                <w:rFonts w:ascii="Arial" w:eastAsia="Times New Roman" w:hAnsi="Arial" w:cs="Arial"/>
                <w:sz w:val="20"/>
                <w:szCs w:val="20"/>
                <w:lang w:eastAsia="en-GB"/>
              </w:rPr>
            </w:pPr>
            <w:r>
              <w:rPr>
                <w:rFonts w:ascii="Arial" w:eastAsia="Times New Roman" w:hAnsi="Arial" w:cs="Arial"/>
                <w:b/>
                <w:sz w:val="20"/>
                <w:szCs w:val="20"/>
                <w:lang w:eastAsia="en-GB"/>
              </w:rPr>
              <w:t>Child Public Health</w:t>
            </w:r>
          </w:p>
          <w:p w:rsidR="00E30B58" w:rsidRDefault="00E30B58" w:rsidP="00E30B58">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One Minute Interventions</w:t>
            </w:r>
          </w:p>
          <w:p w:rsidR="00E30B58" w:rsidRDefault="00E30B58" w:rsidP="00E30B58">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Life Course pathways – obesity. Improving outcomes.</w:t>
            </w:r>
          </w:p>
          <w:p w:rsidR="00E30B58" w:rsidRDefault="00E30B58" w:rsidP="00E30B58">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Child Poverty and impact on health</w:t>
            </w:r>
          </w:p>
          <w:p w:rsidR="00E30B58" w:rsidRPr="00E30B58" w:rsidRDefault="00E30B58" w:rsidP="00E30B58">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Increasing immunisation uptake</w:t>
            </w:r>
          </w:p>
          <w:p w:rsidR="00E30B58" w:rsidRDefault="00E30B58" w:rsidP="009C3152">
            <w:pPr>
              <w:spacing w:after="0" w:line="240" w:lineRule="auto"/>
              <w:rPr>
                <w:rFonts w:ascii="Arial" w:eastAsia="Times New Roman" w:hAnsi="Arial" w:cs="Arial"/>
                <w:b/>
                <w:sz w:val="20"/>
                <w:szCs w:val="20"/>
                <w:lang w:eastAsia="en-GB"/>
              </w:rPr>
            </w:pPr>
          </w:p>
          <w:p w:rsidR="00E24DC3" w:rsidRPr="001010C7" w:rsidRDefault="00E30B58"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Clinical Decision Making &amp; Pathways</w:t>
            </w:r>
            <w:r w:rsidR="00E24DC3">
              <w:rPr>
                <w:rFonts w:ascii="Arial" w:eastAsia="Times New Roman" w:hAnsi="Arial" w:cs="Arial"/>
                <w:b/>
                <w:sz w:val="20"/>
                <w:szCs w:val="20"/>
                <w:lang w:eastAsia="en-GB"/>
              </w:rPr>
              <w:t xml:space="preserve"> </w:t>
            </w:r>
          </w:p>
          <w:p w:rsidR="00E30B58" w:rsidRDefault="00E30B58" w:rsidP="00E30B58">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Health ‘infosphere’ exploration</w:t>
            </w:r>
          </w:p>
          <w:p w:rsidR="00E30B58" w:rsidRDefault="00E30B58" w:rsidP="00E30B58">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Critical analysis of evidence use in adoption decision making</w:t>
            </w:r>
          </w:p>
          <w:p w:rsidR="00E30B58" w:rsidRDefault="00E30B58" w:rsidP="00E30B58">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Autism spectrum disorder – diagnosis &amp; pathways; pros &amp; cons </w:t>
            </w:r>
          </w:p>
          <w:p w:rsidR="00E30B58" w:rsidRDefault="00E30B58" w:rsidP="00E30B58">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Assessing behaviour in children</w:t>
            </w:r>
          </w:p>
          <w:p w:rsidR="00E30B58" w:rsidRPr="00E30B58" w:rsidRDefault="00E30B58" w:rsidP="00E30B58">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Being a professional witness in court</w:t>
            </w:r>
          </w:p>
          <w:p w:rsidR="00E24DC3" w:rsidRPr="00FB5834" w:rsidRDefault="00E30B58"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Vulnerable Children</w:t>
            </w:r>
          </w:p>
          <w:p w:rsidR="00E30B58" w:rsidRDefault="00E30B58" w:rsidP="00E30B58">
            <w:pPr>
              <w:pStyle w:val="ListParagraph"/>
              <w:numPr>
                <w:ilvl w:val="0"/>
                <w:numId w:val="9"/>
              </w:numPr>
              <w:spacing w:after="0" w:line="240" w:lineRule="auto"/>
              <w:rPr>
                <w:rFonts w:ascii="Arial" w:eastAsia="Times New Roman" w:hAnsi="Arial" w:cs="Arial"/>
                <w:sz w:val="20"/>
                <w:szCs w:val="20"/>
                <w:lang w:eastAsia="en-GB"/>
              </w:rPr>
            </w:pPr>
            <w:r w:rsidRPr="00E30B58">
              <w:rPr>
                <w:rFonts w:ascii="Arial" w:eastAsia="Times New Roman" w:hAnsi="Arial" w:cs="Arial"/>
                <w:sz w:val="20"/>
                <w:szCs w:val="20"/>
                <w:lang w:eastAsia="en-GB"/>
              </w:rPr>
              <w:t>Antenatal drug use, Fetal alcohol syndrome</w:t>
            </w:r>
          </w:p>
          <w:p w:rsidR="00E30B58" w:rsidRDefault="00E30B58"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Health needs of looked after children</w:t>
            </w:r>
          </w:p>
          <w:p w:rsidR="00E30B58" w:rsidRDefault="00E30B58"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Attachment disorder</w:t>
            </w:r>
          </w:p>
          <w:p w:rsidR="00E30B58" w:rsidRDefault="00E30B58"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Supporting families &amp; professionals challenged by rare genetic disorders</w:t>
            </w:r>
          </w:p>
          <w:p w:rsidR="00ED57BA" w:rsidRPr="00ED57BA" w:rsidRDefault="00ED57BA" w:rsidP="00ED57BA">
            <w:pPr>
              <w:spacing w:after="0" w:line="240" w:lineRule="auto"/>
              <w:rPr>
                <w:rFonts w:ascii="Arial" w:eastAsia="Times New Roman" w:hAnsi="Arial" w:cs="Arial"/>
                <w:b/>
                <w:sz w:val="20"/>
                <w:szCs w:val="20"/>
                <w:lang w:eastAsia="en-GB"/>
              </w:rPr>
            </w:pPr>
            <w:r w:rsidRPr="00ED57BA">
              <w:rPr>
                <w:rFonts w:ascii="Arial" w:eastAsia="Times New Roman" w:hAnsi="Arial" w:cs="Arial"/>
                <w:b/>
                <w:sz w:val="20"/>
                <w:szCs w:val="20"/>
                <w:lang w:eastAsia="en-GB"/>
              </w:rPr>
              <w:t>Sleep</w:t>
            </w:r>
          </w:p>
          <w:p w:rsidR="00E30B58" w:rsidRDefault="00E30B58"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Behavioural interventions for sleep (inc. normal sleep physiology)</w:t>
            </w:r>
          </w:p>
          <w:p w:rsidR="00ED57BA" w:rsidRDefault="00E30B58"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Sleep and children with c</w:t>
            </w:r>
            <w:r w:rsidR="00ED57BA">
              <w:rPr>
                <w:rFonts w:ascii="Arial" w:eastAsia="Times New Roman" w:hAnsi="Arial" w:cs="Arial"/>
                <w:sz w:val="20"/>
                <w:szCs w:val="20"/>
                <w:lang w:eastAsia="en-GB"/>
              </w:rPr>
              <w:t>erebral palsy</w:t>
            </w:r>
          </w:p>
          <w:p w:rsidR="00E30B58" w:rsidRDefault="00ED57BA" w:rsidP="00E30B58">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r w:rsidR="00E30B58">
              <w:rPr>
                <w:rFonts w:ascii="Arial" w:eastAsia="Times New Roman" w:hAnsi="Arial" w:cs="Arial"/>
                <w:sz w:val="20"/>
                <w:szCs w:val="20"/>
                <w:lang w:eastAsia="en-GB"/>
              </w:rPr>
              <w:t>edicines used in sleep</w:t>
            </w:r>
          </w:p>
          <w:p w:rsidR="00ED57BA" w:rsidRDefault="00ED57BA" w:rsidP="00ED57B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Safeguarding</w:t>
            </w:r>
          </w:p>
          <w:p w:rsidR="00ED57BA" w:rsidRDefault="00ED57BA" w:rsidP="00ED57BA">
            <w:pPr>
              <w:pStyle w:val="ListParagraph"/>
              <w:numPr>
                <w:ilvl w:val="0"/>
                <w:numId w:val="10"/>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Top Tips, Pitfalls, medical investigations</w:t>
            </w:r>
          </w:p>
          <w:p w:rsidR="00ED57BA" w:rsidRDefault="00ED57BA" w:rsidP="00ED57BA">
            <w:pPr>
              <w:pStyle w:val="ListParagraph"/>
              <w:numPr>
                <w:ilvl w:val="0"/>
                <w:numId w:val="10"/>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Case studies</w:t>
            </w:r>
          </w:p>
          <w:p w:rsidR="00ED57BA" w:rsidRPr="00ED57BA" w:rsidRDefault="00ED57BA" w:rsidP="00ED57BA">
            <w:pPr>
              <w:pStyle w:val="ListParagraph"/>
              <w:numPr>
                <w:ilvl w:val="0"/>
                <w:numId w:val="10"/>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Child Death</w:t>
            </w:r>
          </w:p>
          <w:p w:rsidR="00E24DC3" w:rsidRPr="00C608DA" w:rsidRDefault="00E24DC3" w:rsidP="009C3152">
            <w:pPr>
              <w:spacing w:after="0" w:line="240" w:lineRule="auto"/>
              <w:rPr>
                <w:rFonts w:ascii="Arial" w:eastAsia="Times New Roman" w:hAnsi="Arial" w:cs="Arial"/>
                <w:b/>
                <w:sz w:val="20"/>
                <w:szCs w:val="20"/>
                <w:lang w:eastAsia="en-GB"/>
              </w:rPr>
            </w:pP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Teaching and learning strategies</w:t>
            </w:r>
          </w:p>
        </w:tc>
        <w:tc>
          <w:tcPr>
            <w:tcW w:w="6947" w:type="dxa"/>
            <w:tcBorders>
              <w:top w:val="single" w:sz="4" w:space="0" w:color="auto"/>
              <w:left w:val="single" w:sz="4" w:space="0" w:color="auto"/>
              <w:bottom w:val="single" w:sz="4" w:space="0" w:color="auto"/>
              <w:right w:val="single" w:sz="4" w:space="0" w:color="auto"/>
            </w:tcBorders>
          </w:tcPr>
          <w:p w:rsidR="00E24DC3" w:rsidRDefault="00E24DC3" w:rsidP="009C3152">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Teaching methods will encompass:</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Lectures</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Group Discussion</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Workshops</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Student presentations</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Individual project work</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Self-directed learning</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Reflection</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Role play and simulations</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Audio-visual and e-learning</w:t>
            </w:r>
          </w:p>
          <w:p w:rsidR="00ED57BA" w:rsidRPr="00ED57BA" w:rsidRDefault="00ED57BA" w:rsidP="00ED57BA">
            <w:pPr>
              <w:pStyle w:val="ListParagraph"/>
              <w:numPr>
                <w:ilvl w:val="1"/>
                <w:numId w:val="12"/>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“TED” talks</w:t>
            </w:r>
          </w:p>
          <w:p w:rsidR="00E24DC3" w:rsidRPr="00FB5834" w:rsidRDefault="00E24DC3" w:rsidP="009C3152">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Learning will be supported further by the use of prepared notes, selected reading and all usual visual aids. Students will be expected to support their learning by the use and critical appraisal of primary sources of information such as peer-reviewed research articles and appropriate websites. Tutorial staff will outline key sources of information during their individual contact sessions.</w:t>
            </w:r>
          </w:p>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Appropriate </w:t>
            </w:r>
            <w:r w:rsidRPr="00FB5834">
              <w:rPr>
                <w:rFonts w:ascii="Arial" w:eastAsia="Times New Roman" w:hAnsi="Arial" w:cs="Arial"/>
                <w:sz w:val="20"/>
                <w:szCs w:val="20"/>
                <w:lang w:eastAsia="en-GB"/>
              </w:rPr>
              <w:t>Course materials will be made available on ‘S</w:t>
            </w:r>
            <w:r>
              <w:rPr>
                <w:rFonts w:ascii="Arial" w:eastAsia="Times New Roman" w:hAnsi="Arial" w:cs="Arial"/>
                <w:sz w:val="20"/>
                <w:szCs w:val="20"/>
                <w:lang w:eastAsia="en-GB"/>
              </w:rPr>
              <w:t>tudentcentral’</w:t>
            </w:r>
            <w:r w:rsidRPr="00FB5834">
              <w:rPr>
                <w:rFonts w:ascii="Arial" w:eastAsia="Times New Roman" w:hAnsi="Arial" w:cs="Arial"/>
                <w:sz w:val="20"/>
                <w:szCs w:val="20"/>
                <w:lang w:eastAsia="en-GB"/>
              </w:rPr>
              <w:t xml:space="preserve">: </w:t>
            </w:r>
            <w:hyperlink r:id="rId5" w:history="1">
              <w:r w:rsidRPr="006E0750">
                <w:rPr>
                  <w:rStyle w:val="Hyperlink"/>
                  <w:rFonts w:ascii="Arial" w:eastAsia="Times New Roman" w:hAnsi="Arial" w:cs="Arial"/>
                  <w:sz w:val="20"/>
                  <w:szCs w:val="20"/>
                  <w:lang w:eastAsia="en-GB"/>
                </w:rPr>
                <w:t>http://studentcentral.brighton.ac.uk</w:t>
              </w:r>
            </w:hyperlink>
            <w:r>
              <w:rPr>
                <w:rFonts w:ascii="Arial" w:eastAsia="Times New Roman" w:hAnsi="Arial" w:cs="Arial"/>
                <w:sz w:val="20"/>
                <w:szCs w:val="20"/>
                <w:lang w:eastAsia="en-GB"/>
              </w:rPr>
              <w:t xml:space="preserve"> </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support</w:t>
            </w:r>
          </w:p>
        </w:tc>
        <w:tc>
          <w:tcPr>
            <w:tcW w:w="6947" w:type="dxa"/>
            <w:tcBorders>
              <w:top w:val="single" w:sz="4" w:space="0" w:color="auto"/>
              <w:left w:val="single" w:sz="4" w:space="0" w:color="auto"/>
              <w:bottom w:val="single" w:sz="4" w:space="0" w:color="auto"/>
              <w:right w:val="single" w:sz="4" w:space="0" w:color="auto"/>
            </w:tcBorders>
          </w:tcPr>
          <w:p w:rsidR="00ED57BA" w:rsidRPr="00ED57BA" w:rsidRDefault="00ED57BA" w:rsidP="00ED57BA">
            <w:pPr>
              <w:spacing w:after="240" w:line="240" w:lineRule="auto"/>
              <w:rPr>
                <w:rFonts w:ascii="Arial" w:eastAsia="Times New Roman" w:hAnsi="Arial" w:cs="Arial"/>
                <w:b/>
                <w:sz w:val="20"/>
                <w:szCs w:val="20"/>
                <w:lang w:eastAsia="en-GB"/>
              </w:rPr>
            </w:pPr>
            <w:r w:rsidRPr="00ED57BA">
              <w:rPr>
                <w:rFonts w:ascii="Arial" w:eastAsia="Times New Roman" w:hAnsi="Arial" w:cs="Arial"/>
                <w:b/>
                <w:sz w:val="20"/>
                <w:szCs w:val="20"/>
                <w:lang w:eastAsia="en-GB"/>
              </w:rPr>
              <w:t>Examples of key texts are:</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APPG. Initial report of the inquirey into the current picture of FASD in the UK Today. 2016. London, UK Parliament.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Gregory G, Reddy V, Young C. Identifying children who are at risk of FASD in Peterborough: Working in a community clinic without access to gold standard dignosis. Journal of Adoption and Fostering. 2015; 39(3): 225-34.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Mukherjee RAS, Layton, M., Yacoub, E., Turk, J.T,… Autism and autistic traits in people exposed to heavy prenatal alcohol:data from a clinical series of 21 individuals and a nested case control study. Advances in Mental Health and Intellectual Disability. 2011; 5: 43-9.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 Mukherjee RAS, Hollins S, Curfs L. FASD is it something we should be more aware of? Journal Royal Society of Medicine Edinburgh. 2012; 42: 143-50. </w:t>
            </w:r>
          </w:p>
          <w:p w:rsidR="00ED57BA" w:rsidRPr="00ED57BA" w:rsidRDefault="00ED57BA" w:rsidP="00ED57BA">
            <w:pPr>
              <w:spacing w:after="240" w:line="240" w:lineRule="auto"/>
              <w:rPr>
                <w:rFonts w:ascii="Arial" w:eastAsia="Times New Roman" w:hAnsi="Arial" w:cs="Arial"/>
                <w:sz w:val="20"/>
                <w:szCs w:val="20"/>
                <w:lang w:eastAsia="en-GB"/>
              </w:rPr>
            </w:pP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 Mukherjee RAS, Wray E, Commers M, Hollins S, Curfs L. The impact of raising a child with FASD upon carers: findings from a mixed methodology study in the UK. Journal of Adoption and Fostering. 2013; 37(1): 43-56.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lastRenderedPageBreak/>
              <w:t xml:space="preserve"> Mukherjee RAS, Wray E, Hollins S, Curfs L. What does the general public in the UK know aout the risk to the developing foetus if exposed to alcohol in pregnancy? Findings from a /uk mixed methods study. Child Care, Health and Development. 2014; 41(3): 467-74.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O'Brien G, Yule W. Behavioural Phenotypes. 1995. Cambride, Mac Kieth Press.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BMA Board of Science. Fetal Alcohol Spectrum Disorders, a guide for healthcare practitioners update. 2016. London, British Medical Association.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Nykjaer C, Alwan NA, Greenwood DC, Simpson NAB, Hay AWM, White KLM, et al. Maternal alcohol intake prior to and during pregnacy and risk of adverse irth outcomes: evidence from a British cohort. Journal Epidemiologyand Community Health. 2014; 68(6): 542-9.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Popova S, Lange, S., Shield, K., Mihic, A., Chudley,A.E., Mukherjee, R.A.S., Bekmuradov, D., Rehm, J. Comorbidity of fetal alcohol spectrum disorders: a systematic review and meta-analysis. Lancet. 2016; 387: 978-87.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Preece PM, Riley EP. Alcohol, Drugs and Medication in Pregnancy. MacKeith, 2011.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Sidebotham P, Fraser J, Fleming P, Ward-Platt M, Hain R. Child death in high-income countries 2: Patterns of child death in England and Wales. Lancet. 2014; 384: 904-14.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Mukherjee RAS. Fetal alcohol spectrum disorders. Paediatrics &amp; Child Health. 2015; 25(12): 580-6.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Wolfe I, Macfarlane A, Donkin A, Marmot M, Viner R. Why children die: death in infants, children, and young people in the UK: Part A. 2014. London, Royal College of Paediatrics and Child Health.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Sidebotham P, Fraser J, Covington T, Freemantle J, Petrou S, Pulikottil-Jacob R..,. Child death in high-income countries 3: Understanding why children die in high-income countries. Lancet. 2014; 384: 915-27.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Young S, Absoud M, Blackburn C, Branney P, Colley B, Farrag E,… Guidelines for identification and treatment of individuals with attention deficit/hyperactivity disorder and associated fetal alcohol spectrum disorders based upon expert consensus. BMC Psychiatry. 2016; 16: 324.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Fraser J, Sidebotham P, Frederick J, Covington T, Mitchell EA. Child death in high-income countries 1: Learning from child death review in the USA, England, Australia, and New Zealand. Lancet. 2014; 384: 894-903.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Ingrassia A, Turk J. The use of clonidine for severe and intractable sleep problems in children with neurodevelopmental disorders A case series. European Child &amp; Adolescent Psychiatry. 2005; 14: 34-40.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Turk, J. Melatonin supplementation for severe and intractable sleep disturbance in young people with genetically determined developmental disabilities: short review and commentary. Journal of Medical Genetics. 2003; 40: 793-6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Turk, J. Sleep disorders in children and adolescents with learning disabilities and their management. Advances in Mental Health and Learning </w:t>
            </w:r>
            <w:r w:rsidRPr="00ED57BA">
              <w:rPr>
                <w:rFonts w:ascii="Arial" w:eastAsia="Times New Roman" w:hAnsi="Arial" w:cs="Arial"/>
                <w:sz w:val="20"/>
                <w:szCs w:val="20"/>
                <w:lang w:eastAsia="en-GB"/>
              </w:rPr>
              <w:lastRenderedPageBreak/>
              <w:t xml:space="preserve">Disabilities. 2010; 4: 50-9.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Turk, J. 2014. Use of medication in children and young people with intellectual disability and challenging behaviours. In M Lovell &amp; Udwin (Eds), Intellectual disabilities and challenging behaviour. ACAMH Occasional Paper 32 (Chap 4, pp. 36-44), London: Association for Child and Adolescent Mental Health.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Kahneman D. Thinking, Fast and Slow. 2012. London: Penguin Books Ltd</w:t>
            </w:r>
            <w:r w:rsidRPr="00ED57BA">
              <w:rPr>
                <w:rFonts w:ascii="Arial" w:eastAsia="Times New Roman" w:hAnsi="Arial" w:cs="Arial"/>
                <w:i/>
                <w:iCs/>
                <w:sz w:val="20"/>
                <w:szCs w:val="20"/>
                <w:lang w:eastAsia="en-GB"/>
              </w:rPr>
              <w:t xml:space="preserve">.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Gladwell M. Blink: The Power of Thinking without Thinking. 2007. London: Penguin Books Ltd.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Cropley M. The Off Switch: Leave on time, relax your mind but still get more done. 2015. London: Virgin Books.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Womack JP, Jones JT. Lean Thinking: Banish Waste And Create Wealth In Your Corporation. 2003. Sydney: Simon &amp; Schuster / Free Press.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Blair M, Stewart-Brown S, Waterston T, Crowther R. Child Public Health. 2nd edn. 2010. Oxford: Oxford University Press.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RCPCH. Safeguarding children and young people: roles and competences for health care staff. 2014. London: RCPCH.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HM Government. Working together to safeguard children: A guide to inter-agency working to safeguard and promote the welfare of children.  2015. London: Crown Copyright. </w:t>
            </w:r>
          </w:p>
          <w:p w:rsidR="00ED57BA" w:rsidRPr="00ED57BA" w:rsidRDefault="00ED57BA" w:rsidP="00ED57BA">
            <w:pPr>
              <w:spacing w:after="240" w:line="240" w:lineRule="auto"/>
              <w:rPr>
                <w:rFonts w:ascii="Arial" w:eastAsia="Times New Roman" w:hAnsi="Arial" w:cs="Arial"/>
                <w:b/>
                <w:sz w:val="20"/>
                <w:szCs w:val="20"/>
                <w:lang w:eastAsia="en-GB"/>
              </w:rPr>
            </w:pPr>
            <w:r w:rsidRPr="00ED57BA">
              <w:rPr>
                <w:rFonts w:ascii="Arial" w:eastAsia="Times New Roman" w:hAnsi="Arial" w:cs="Arial"/>
                <w:b/>
                <w:bCs/>
                <w:sz w:val="20"/>
                <w:szCs w:val="20"/>
                <w:lang w:eastAsia="en-GB"/>
              </w:rPr>
              <w:t xml:space="preserve">Key resources and organisations: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NICE Guidance and Evidence Summaries on Autism Spectrum Disorder, ADHD, melatonin on www.nice.org.uk/guidance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https://www.rcpch.ac.uk/key-topics/child-protection/evidence-reviews</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Myers Briggs-based resource such as www.mindtools.com/pages/article/newCDV_51.htm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BAAF Parenting Matters series of books found corambaaf.org.uk/bookskop/page/PMseries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British Association for Community &amp; Child Health www.bacch.org.uk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The National Autistic Society www.autism.org.uk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Royal College of Paediatrics &amp; Child Health www.rcpch.ac.uk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American Academy of Paediatrics www.aap.org/en-us/Pages/Default.aspx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British Association for Child and Adolescent Public Health www.bacaph.org.uk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The Children's Sleep Charity www.thechildrenssleepcharity.org.uk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The National Organisation for Foetal Alcohol Syndrome-UK www.nofas-uk.org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Current UK asylum process and access to healthcare for children </w:t>
            </w:r>
            <w:r w:rsidRPr="00ED57BA">
              <w:rPr>
                <w:rFonts w:ascii="Arial" w:eastAsia="Times New Roman" w:hAnsi="Arial" w:cs="Arial"/>
                <w:sz w:val="20"/>
                <w:szCs w:val="20"/>
                <w:lang w:eastAsia="en-GB"/>
              </w:rPr>
              <w:lastRenderedPageBreak/>
              <w:t xml:space="preserve">www.rcpch.ac.uk/improving-child-health/child-protection/refugee-and-unaccompanied-asylum-seeking-cyp/current-uk-asyl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MindEd is a free educational resource on children and young people's mental health and wellbeing www.minded.org.uk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UNIQUE website for chromosome disorders www.rarechromo.co.uk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Local safeguarding board website e.g. www.brightonandhovelscb.org.uk www.surreyscb.org.uk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Keeping Children Safe www.keepingchildrensafe.org.uk/sites/default/files/Emergency%20toolkit2.pdf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Unaccompanied asylum seeking children www.uaschealth.org </w:t>
            </w:r>
          </w:p>
          <w:p w:rsidR="00ED57BA" w:rsidRPr="00ED57BA" w:rsidRDefault="00ED57BA" w:rsidP="00ED57BA">
            <w:pPr>
              <w:spacing w:after="24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 xml:space="preserve"> Green book for immunisations www.gov.uk/government/collections/immunisation-against-infectious-disease-the-green-book </w:t>
            </w:r>
          </w:p>
          <w:p w:rsidR="00E24DC3" w:rsidRPr="00C608DA" w:rsidRDefault="00E24DC3" w:rsidP="009C3152">
            <w:pPr>
              <w:spacing w:after="240" w:line="240" w:lineRule="auto"/>
              <w:rPr>
                <w:rFonts w:ascii="Arial" w:eastAsia="Times New Roman" w:hAnsi="Arial" w:cs="Arial"/>
                <w:sz w:val="20"/>
                <w:szCs w:val="20"/>
                <w:lang w:eastAsia="en-GB"/>
              </w:rPr>
            </w:pP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Assessment tasks</w:t>
            </w:r>
          </w:p>
        </w:tc>
        <w:tc>
          <w:tcPr>
            <w:tcW w:w="6947" w:type="dxa"/>
            <w:tcBorders>
              <w:top w:val="single" w:sz="4" w:space="0" w:color="auto"/>
              <w:left w:val="single" w:sz="4" w:space="0" w:color="auto"/>
              <w:bottom w:val="single" w:sz="4" w:space="0" w:color="auto"/>
              <w:right w:val="single" w:sz="4" w:space="0" w:color="auto"/>
            </w:tcBorders>
          </w:tcPr>
          <w:p w:rsidR="00E24DC3" w:rsidRPr="003628B1" w:rsidRDefault="00E24DC3" w:rsidP="009C3152">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 xml:space="preserve">Essay – </w:t>
            </w:r>
            <w:r w:rsidR="00ED57BA" w:rsidRPr="00ED57BA">
              <w:rPr>
                <w:rFonts w:ascii="Arial" w:eastAsia="Times New Roman" w:hAnsi="Arial" w:cs="Arial"/>
                <w:color w:val="000000"/>
                <w:sz w:val="20"/>
                <w:szCs w:val="20"/>
                <w:lang w:eastAsia="en-GB"/>
              </w:rPr>
              <w:t xml:space="preserve">design a working pathway for a clinical diagnostic condition seen by developmental and community health care professionals. </w:t>
            </w:r>
            <w:r w:rsidRPr="003628B1">
              <w:rPr>
                <w:rFonts w:ascii="Arial" w:eastAsia="Times New Roman" w:hAnsi="Arial" w:cs="Arial"/>
                <w:color w:val="000000"/>
                <w:sz w:val="20"/>
                <w:szCs w:val="20"/>
                <w:lang w:eastAsia="en-GB"/>
              </w:rPr>
              <w:t>(2,500 words)</w:t>
            </w:r>
          </w:p>
          <w:p w:rsidR="00E24DC3" w:rsidRDefault="00E24DC3" w:rsidP="009C3152">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(75% weighting)</w:t>
            </w:r>
          </w:p>
          <w:p w:rsidR="000F5952" w:rsidRDefault="000F5952"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0F5952">
              <w:rPr>
                <w:rFonts w:ascii="Arial" w:eastAsia="Times New Roman" w:hAnsi="Arial" w:cs="Arial"/>
                <w:sz w:val="20"/>
                <w:szCs w:val="20"/>
                <w:lang w:eastAsia="en-GB"/>
              </w:rPr>
              <w:t xml:space="preserve">Interactive role play focusing on safeguarding </w:t>
            </w:r>
          </w:p>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(25% weighting)</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Brief description of module content and/or aims (maximum 80 words)</w:t>
            </w:r>
          </w:p>
        </w:tc>
        <w:tc>
          <w:tcPr>
            <w:tcW w:w="6947" w:type="dxa"/>
            <w:tcBorders>
              <w:top w:val="single" w:sz="4" w:space="0" w:color="auto"/>
              <w:left w:val="single" w:sz="4" w:space="0" w:color="auto"/>
              <w:bottom w:val="single" w:sz="4" w:space="0" w:color="auto"/>
              <w:right w:val="single" w:sz="4" w:space="0" w:color="auto"/>
            </w:tcBorders>
          </w:tcPr>
          <w:p w:rsidR="00E24DC3" w:rsidRPr="00C608DA" w:rsidRDefault="000F5952" w:rsidP="009C3152">
            <w:pPr>
              <w:spacing w:after="0" w:line="240" w:lineRule="auto"/>
              <w:rPr>
                <w:rFonts w:ascii="Arial" w:eastAsia="Times New Roman" w:hAnsi="Arial" w:cs="Arial"/>
                <w:sz w:val="20"/>
                <w:szCs w:val="20"/>
                <w:lang w:eastAsia="en-GB"/>
              </w:rPr>
            </w:pPr>
            <w:r w:rsidRPr="000F5952">
              <w:rPr>
                <w:rFonts w:ascii="Arial" w:eastAsia="Times New Roman" w:hAnsi="Arial" w:cs="Arial"/>
                <w:sz w:val="20"/>
                <w:szCs w:val="20"/>
                <w:lang w:eastAsia="en-GB"/>
              </w:rPr>
              <w:t>The module aims to cover aspects of developmental and community paediatrics that are important to clinical care but are often not addressed by traditional teaching. The module also aims to cover safeguarding comprehensively. It is envisaged that uniquely, the module emphasises the importance of service design so students are equipped to contribute to transformational change in their working environment.</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Area examination board to which module relates</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 – Area Examination Board</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Module team/authors/coordinator</w:t>
            </w:r>
          </w:p>
        </w:tc>
        <w:tc>
          <w:tcPr>
            <w:tcW w:w="6947" w:type="dxa"/>
            <w:tcBorders>
              <w:top w:val="single" w:sz="4" w:space="0" w:color="auto"/>
              <w:left w:val="single" w:sz="4" w:space="0" w:color="auto"/>
              <w:bottom w:val="single" w:sz="4" w:space="0" w:color="auto"/>
              <w:right w:val="single" w:sz="4" w:space="0" w:color="auto"/>
            </w:tcBorders>
          </w:tcPr>
          <w:p w:rsidR="00E24DC3" w:rsidRDefault="000F5952"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Module Lead</w:t>
            </w:r>
            <w:r w:rsidR="00E24DC3">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Dr Anu Raykundalia (replacement TBC July 2020)</w:t>
            </w:r>
          </w:p>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Personal Tutor : Dr Kamal Patel, Consultant Paediatrician</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Semester offered, where appropriate</w:t>
            </w:r>
          </w:p>
        </w:tc>
        <w:tc>
          <w:tcPr>
            <w:tcW w:w="6947" w:type="dxa"/>
            <w:tcBorders>
              <w:top w:val="single" w:sz="4" w:space="0" w:color="auto"/>
              <w:left w:val="single" w:sz="4" w:space="0" w:color="auto"/>
              <w:bottom w:val="single" w:sz="4" w:space="0" w:color="auto"/>
              <w:right w:val="single" w:sz="4" w:space="0" w:color="auto"/>
            </w:tcBorders>
          </w:tcPr>
          <w:p w:rsidR="00E24DC3" w:rsidRPr="00C608DA" w:rsidRDefault="000F5952"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Two</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Site where delivered</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BSMS, </w:t>
            </w:r>
            <w:r w:rsidRPr="00C608DA">
              <w:rPr>
                <w:rFonts w:ascii="Arial" w:eastAsia="Times New Roman" w:hAnsi="Arial" w:cs="Arial"/>
                <w:sz w:val="20"/>
                <w:szCs w:val="20"/>
                <w:lang w:eastAsia="en-GB"/>
              </w:rPr>
              <w:t>Falmer</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Date of approval of this version</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March 2016</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Field for which module is acceptable and status in that field</w:t>
            </w:r>
          </w:p>
        </w:tc>
        <w:tc>
          <w:tcPr>
            <w:tcW w:w="6947" w:type="dxa"/>
            <w:tcBorders>
              <w:top w:val="single" w:sz="4" w:space="0" w:color="auto"/>
              <w:left w:val="single" w:sz="4" w:space="0" w:color="auto"/>
              <w:bottom w:val="single" w:sz="4" w:space="0" w:color="auto"/>
              <w:right w:val="single" w:sz="4" w:space="0" w:color="auto"/>
            </w:tcBorders>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Paediatrics, Nursing, Allied Health Professionals</w:t>
            </w:r>
          </w:p>
          <w:p w:rsidR="00E24DC3" w:rsidRPr="00C608DA" w:rsidRDefault="00E24DC3" w:rsidP="009C3152">
            <w:pPr>
              <w:spacing w:after="0" w:line="240" w:lineRule="auto"/>
              <w:rPr>
                <w:rFonts w:ascii="Arial" w:eastAsia="Times New Roman" w:hAnsi="Arial" w:cs="Arial"/>
                <w:sz w:val="20"/>
                <w:szCs w:val="20"/>
                <w:lang w:eastAsia="en-GB"/>
              </w:rPr>
            </w:pPr>
          </w:p>
          <w:p w:rsidR="00E24DC3" w:rsidRPr="00C608DA" w:rsidRDefault="00E24DC3" w:rsidP="009C3152">
            <w:pPr>
              <w:spacing w:after="0" w:line="240" w:lineRule="auto"/>
              <w:rPr>
                <w:rFonts w:ascii="Arial" w:eastAsia="Times New Roman" w:hAnsi="Arial" w:cs="Arial"/>
                <w:sz w:val="20"/>
                <w:szCs w:val="20"/>
                <w:lang w:eastAsia="en-GB"/>
              </w:rPr>
            </w:pP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Course(s) for which module is acceptable and status in that course</w:t>
            </w:r>
          </w:p>
        </w:tc>
        <w:tc>
          <w:tcPr>
            <w:tcW w:w="6947" w:type="dxa"/>
            <w:tcBorders>
              <w:top w:val="single" w:sz="4" w:space="0" w:color="auto"/>
              <w:left w:val="single" w:sz="4" w:space="0" w:color="auto"/>
              <w:bottom w:val="single" w:sz="4" w:space="0" w:color="auto"/>
              <w:right w:val="single" w:sz="4" w:space="0" w:color="auto"/>
            </w:tcBorders>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PGCert or PGDip or </w:t>
            </w:r>
            <w:r w:rsidRPr="00C608DA">
              <w:rPr>
                <w:rFonts w:ascii="Arial" w:eastAsia="Times New Roman" w:hAnsi="Arial" w:cs="Arial"/>
                <w:sz w:val="20"/>
                <w:szCs w:val="20"/>
                <w:lang w:eastAsia="en-GB"/>
              </w:rPr>
              <w:t xml:space="preserve">MSc </w:t>
            </w:r>
            <w:r>
              <w:rPr>
                <w:rFonts w:ascii="Arial" w:eastAsia="Times New Roman" w:hAnsi="Arial" w:cs="Arial"/>
                <w:sz w:val="20"/>
                <w:szCs w:val="20"/>
                <w:lang w:eastAsia="en-GB"/>
              </w:rPr>
              <w:t xml:space="preserve">Paediatrics &amp; Child Health </w:t>
            </w:r>
            <w:r w:rsidRPr="00C608DA">
              <w:rPr>
                <w:rFonts w:ascii="Arial" w:eastAsia="Times New Roman" w:hAnsi="Arial" w:cs="Arial"/>
                <w:sz w:val="20"/>
                <w:szCs w:val="20"/>
                <w:lang w:eastAsia="en-GB"/>
              </w:rPr>
              <w:t xml:space="preserve">Programme </w:t>
            </w:r>
          </w:p>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Compulsory </w:t>
            </w:r>
            <w:r w:rsidRPr="00C608DA">
              <w:rPr>
                <w:rFonts w:ascii="Arial" w:eastAsia="Times New Roman" w:hAnsi="Arial" w:cs="Arial"/>
                <w:sz w:val="20"/>
                <w:szCs w:val="20"/>
                <w:lang w:eastAsia="en-GB"/>
              </w:rPr>
              <w:t>module</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School home</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w:t>
            </w:r>
          </w:p>
        </w:tc>
      </w:tr>
      <w:tr w:rsidR="00E24DC3"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External examiner</w:t>
            </w:r>
          </w:p>
        </w:tc>
        <w:tc>
          <w:tcPr>
            <w:tcW w:w="6947" w:type="dxa"/>
            <w:tcBorders>
              <w:top w:val="single" w:sz="4" w:space="0" w:color="auto"/>
              <w:left w:val="single" w:sz="4" w:space="0" w:color="auto"/>
              <w:bottom w:val="single" w:sz="4" w:space="0" w:color="auto"/>
              <w:right w:val="single" w:sz="4" w:space="0" w:color="auto"/>
            </w:tcBorders>
            <w:hideMark/>
          </w:tcPr>
          <w:p w:rsidR="00E24DC3" w:rsidRPr="00C608DA" w:rsidRDefault="00E24DC3" w:rsidP="009C3152">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Dr Jonathan Round, PICU Consultant,</w:t>
            </w:r>
            <w:r>
              <w:t xml:space="preserve"> </w:t>
            </w:r>
            <w:r w:rsidRPr="007E12AD">
              <w:rPr>
                <w:rFonts w:ascii="Arial" w:eastAsia="Times New Roman" w:hAnsi="Arial" w:cs="Arial"/>
                <w:color w:val="000000"/>
                <w:sz w:val="20"/>
                <w:szCs w:val="20"/>
                <w:lang w:eastAsia="en-GB"/>
              </w:rPr>
              <w:t>Head</w:t>
            </w:r>
            <w:r>
              <w:rPr>
                <w:rFonts w:ascii="Arial" w:eastAsia="Times New Roman" w:hAnsi="Arial" w:cs="Arial"/>
                <w:color w:val="000000"/>
                <w:sz w:val="20"/>
                <w:szCs w:val="20"/>
                <w:lang w:eastAsia="en-GB"/>
              </w:rPr>
              <w:t xml:space="preserve"> of London(South) School of </w:t>
            </w:r>
            <w:r w:rsidRPr="007E12AD">
              <w:rPr>
                <w:rFonts w:ascii="Arial" w:eastAsia="Times New Roman" w:hAnsi="Arial" w:cs="Arial"/>
                <w:color w:val="000000"/>
                <w:sz w:val="20"/>
                <w:szCs w:val="20"/>
                <w:lang w:eastAsia="en-GB"/>
              </w:rPr>
              <w:t>Paediatrics, D</w:t>
            </w:r>
            <w:r>
              <w:rPr>
                <w:rFonts w:ascii="Arial" w:eastAsia="Times New Roman" w:hAnsi="Arial" w:cs="Arial"/>
                <w:color w:val="000000"/>
                <w:sz w:val="20"/>
                <w:szCs w:val="20"/>
                <w:lang w:eastAsia="en-GB"/>
              </w:rPr>
              <w:t xml:space="preserve">irector of </w:t>
            </w:r>
            <w:r w:rsidRPr="007E12AD">
              <w:rPr>
                <w:rFonts w:ascii="Arial" w:eastAsia="Times New Roman" w:hAnsi="Arial" w:cs="Arial"/>
                <w:color w:val="000000"/>
                <w:sz w:val="20"/>
                <w:szCs w:val="20"/>
                <w:lang w:eastAsia="en-GB"/>
              </w:rPr>
              <w:t>M</w:t>
            </w:r>
            <w:r>
              <w:rPr>
                <w:rFonts w:ascii="Arial" w:eastAsia="Times New Roman" w:hAnsi="Arial" w:cs="Arial"/>
                <w:color w:val="000000"/>
                <w:sz w:val="20"/>
                <w:szCs w:val="20"/>
                <w:lang w:eastAsia="en-GB"/>
              </w:rPr>
              <w:t xml:space="preserve">edical </w:t>
            </w:r>
            <w:r w:rsidRPr="007E12AD">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ducation</w:t>
            </w:r>
            <w:r w:rsidRPr="007E12AD">
              <w:rPr>
                <w:rFonts w:ascii="Arial" w:eastAsia="Times New Roman" w:hAnsi="Arial" w:cs="Arial"/>
                <w:color w:val="000000"/>
                <w:sz w:val="20"/>
                <w:szCs w:val="20"/>
                <w:lang w:eastAsia="en-GB"/>
              </w:rPr>
              <w:t xml:space="preserve"> S</w:t>
            </w:r>
            <w:r>
              <w:rPr>
                <w:rFonts w:ascii="Arial" w:eastAsia="Times New Roman" w:hAnsi="Arial" w:cs="Arial"/>
                <w:color w:val="000000"/>
                <w:sz w:val="20"/>
                <w:szCs w:val="20"/>
                <w:lang w:eastAsia="en-GB"/>
              </w:rPr>
              <w:t xml:space="preserve">t </w:t>
            </w:r>
            <w:r w:rsidRPr="007E12AD">
              <w:rPr>
                <w:rFonts w:ascii="Arial" w:eastAsia="Times New Roman" w:hAnsi="Arial" w:cs="Arial"/>
                <w:color w:val="000000"/>
                <w:sz w:val="20"/>
                <w:szCs w:val="20"/>
                <w:lang w:eastAsia="en-GB"/>
              </w:rPr>
              <w:t>G</w:t>
            </w:r>
            <w:r>
              <w:rPr>
                <w:rFonts w:ascii="Arial" w:eastAsia="Times New Roman" w:hAnsi="Arial" w:cs="Arial"/>
                <w:color w:val="000000"/>
                <w:sz w:val="20"/>
                <w:szCs w:val="20"/>
                <w:lang w:eastAsia="en-GB"/>
              </w:rPr>
              <w:t xml:space="preserve">eorge’s </w:t>
            </w:r>
            <w:r w:rsidRPr="007E12AD">
              <w:rPr>
                <w:rFonts w:ascii="Arial" w:eastAsia="Times New Roman" w:hAnsi="Arial" w:cs="Arial"/>
                <w:color w:val="000000"/>
                <w:sz w:val="20"/>
                <w:szCs w:val="20"/>
                <w:lang w:eastAsia="en-GB"/>
              </w:rPr>
              <w:t>U</w:t>
            </w:r>
            <w:r>
              <w:rPr>
                <w:rFonts w:ascii="Arial" w:eastAsia="Times New Roman" w:hAnsi="Arial" w:cs="Arial"/>
                <w:color w:val="000000"/>
                <w:sz w:val="20"/>
                <w:szCs w:val="20"/>
                <w:lang w:eastAsia="en-GB"/>
              </w:rPr>
              <w:t xml:space="preserve">niversity </w:t>
            </w:r>
            <w:r w:rsidRPr="007E12AD">
              <w:rPr>
                <w:rFonts w:ascii="Arial" w:eastAsia="Times New Roman" w:hAnsi="Arial" w:cs="Arial"/>
                <w:color w:val="000000"/>
                <w:sz w:val="20"/>
                <w:szCs w:val="20"/>
                <w:lang w:eastAsia="en-GB"/>
              </w:rPr>
              <w:t>H</w:t>
            </w:r>
            <w:r>
              <w:rPr>
                <w:rFonts w:ascii="Arial" w:eastAsia="Times New Roman" w:hAnsi="Arial" w:cs="Arial"/>
                <w:color w:val="000000"/>
                <w:sz w:val="20"/>
                <w:szCs w:val="20"/>
                <w:lang w:eastAsia="en-GB"/>
              </w:rPr>
              <w:t>ospitals</w:t>
            </w:r>
            <w:r w:rsidRPr="007E12AD">
              <w:rPr>
                <w:rFonts w:ascii="Arial" w:eastAsia="Times New Roman" w:hAnsi="Arial" w:cs="Arial"/>
                <w:color w:val="000000"/>
                <w:sz w:val="20"/>
                <w:szCs w:val="20"/>
                <w:lang w:eastAsia="en-GB"/>
              </w:rPr>
              <w:t xml:space="preserve"> NHS Trust</w:t>
            </w:r>
            <w:r>
              <w:rPr>
                <w:rFonts w:ascii="Arial" w:eastAsia="Times New Roman" w:hAnsi="Arial" w:cs="Arial"/>
                <w:color w:val="000000"/>
                <w:sz w:val="20"/>
                <w:szCs w:val="20"/>
                <w:lang w:eastAsia="en-GB"/>
              </w:rPr>
              <w:t xml:space="preserve"> </w:t>
            </w:r>
          </w:p>
        </w:tc>
      </w:tr>
    </w:tbl>
    <w:p w:rsidR="001E6E0F" w:rsidRDefault="003A571A"/>
    <w:sectPr w:rsidR="001E6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6D59"/>
    <w:multiLevelType w:val="hybridMultilevel"/>
    <w:tmpl w:val="E4DED860"/>
    <w:lvl w:ilvl="0" w:tplc="7E5E69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64048"/>
    <w:multiLevelType w:val="hybridMultilevel"/>
    <w:tmpl w:val="AD3C88F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B2E"/>
    <w:multiLevelType w:val="hybridMultilevel"/>
    <w:tmpl w:val="1A7EAD46"/>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824"/>
    <w:multiLevelType w:val="hybridMultilevel"/>
    <w:tmpl w:val="B4D49EA6"/>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C330C"/>
    <w:multiLevelType w:val="hybridMultilevel"/>
    <w:tmpl w:val="1B888878"/>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46A5B"/>
    <w:multiLevelType w:val="hybridMultilevel"/>
    <w:tmpl w:val="EB968F8C"/>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01F1E"/>
    <w:multiLevelType w:val="hybridMultilevel"/>
    <w:tmpl w:val="FE664F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02284"/>
    <w:multiLevelType w:val="hybridMultilevel"/>
    <w:tmpl w:val="CC4647B2"/>
    <w:lvl w:ilvl="0" w:tplc="B6B4C6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AA15B2"/>
    <w:multiLevelType w:val="hybridMultilevel"/>
    <w:tmpl w:val="1A2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91740"/>
    <w:multiLevelType w:val="hybridMultilevel"/>
    <w:tmpl w:val="39A8432A"/>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3470B"/>
    <w:multiLevelType w:val="hybridMultilevel"/>
    <w:tmpl w:val="625A99D2"/>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21DE9"/>
    <w:multiLevelType w:val="hybridMultilevel"/>
    <w:tmpl w:val="39EC8064"/>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0"/>
  </w:num>
  <w:num w:numId="6">
    <w:abstractNumId w:val="5"/>
  </w:num>
  <w:num w:numId="7">
    <w:abstractNumId w:val="3"/>
  </w:num>
  <w:num w:numId="8">
    <w:abstractNumId w:val="10"/>
  </w:num>
  <w:num w:numId="9">
    <w:abstractNumId w:val="4"/>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C3"/>
    <w:rsid w:val="000F5952"/>
    <w:rsid w:val="001A0E24"/>
    <w:rsid w:val="003A571A"/>
    <w:rsid w:val="00A6235F"/>
    <w:rsid w:val="00C11445"/>
    <w:rsid w:val="00CA7C7B"/>
    <w:rsid w:val="00E24DC3"/>
    <w:rsid w:val="00E279C2"/>
    <w:rsid w:val="00E30B58"/>
    <w:rsid w:val="00ED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94B1E-E01C-1B4E-B68E-77E53ED8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DC3"/>
    <w:rPr>
      <w:color w:val="0000FF" w:themeColor="hyperlink"/>
      <w:u w:val="single"/>
    </w:rPr>
  </w:style>
  <w:style w:type="paragraph" w:styleId="ListParagraph">
    <w:name w:val="List Paragraph"/>
    <w:basedOn w:val="Normal"/>
    <w:uiPriority w:val="34"/>
    <w:qFormat/>
    <w:rsid w:val="00E2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central.brigh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Kamal</dc:creator>
  <cp:lastModifiedBy>Suze Cruttwell</cp:lastModifiedBy>
  <cp:revision>2</cp:revision>
  <dcterms:created xsi:type="dcterms:W3CDTF">2020-06-04T15:40:00Z</dcterms:created>
  <dcterms:modified xsi:type="dcterms:W3CDTF">2020-06-04T15:40:00Z</dcterms:modified>
</cp:coreProperties>
</file>