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70D6D" w14:textId="77777777" w:rsidR="00412D8B" w:rsidRDefault="00412D8B" w:rsidP="00CE04C9">
      <w:pPr>
        <w:spacing w:before="100" w:beforeAutospacing="1" w:after="100" w:afterAutospacing="1" w:line="300" w:lineRule="atLeast"/>
        <w:jc w:val="center"/>
        <w:outlineLvl w:val="0"/>
        <w:rPr>
          <w:rFonts w:ascii="Arial" w:eastAsia="Times New Roman" w:hAnsi="Arial" w:cs="Arial"/>
          <w:b/>
          <w:bCs/>
          <w:color w:val="FC5D5D"/>
          <w:kern w:val="36"/>
          <w:sz w:val="48"/>
          <w:szCs w:val="48"/>
          <w:lang w:eastAsia="en-GB"/>
        </w:rPr>
      </w:pPr>
    </w:p>
    <w:p w14:paraId="0E372D0C" w14:textId="67EC2E74" w:rsidR="004155AD" w:rsidRPr="00412D8B" w:rsidRDefault="00F21FEA" w:rsidP="00CE04C9">
      <w:pPr>
        <w:spacing w:before="100" w:beforeAutospacing="1" w:after="100" w:afterAutospacing="1" w:line="300" w:lineRule="atLeast"/>
        <w:jc w:val="center"/>
        <w:outlineLvl w:val="0"/>
        <w:rPr>
          <w:rFonts w:ascii="Arial" w:eastAsia="Times New Roman" w:hAnsi="Arial" w:cs="Arial"/>
          <w:b/>
          <w:bCs/>
          <w:color w:val="FC5D5D"/>
          <w:kern w:val="36"/>
          <w:sz w:val="48"/>
          <w:szCs w:val="48"/>
          <w:lang w:eastAsia="en-GB"/>
        </w:rPr>
      </w:pPr>
      <w:r>
        <w:rPr>
          <w:rFonts w:ascii="Arial" w:eastAsia="Times New Roman" w:hAnsi="Arial" w:cs="Arial"/>
          <w:b/>
          <w:bCs/>
          <w:color w:val="FC5D5D"/>
          <w:kern w:val="36"/>
          <w:sz w:val="48"/>
          <w:szCs w:val="48"/>
          <w:lang w:eastAsia="en-GB"/>
        </w:rPr>
        <w:t>Buildi</w:t>
      </w:r>
      <w:r w:rsidR="009B3362">
        <w:rPr>
          <w:rFonts w:ascii="Arial" w:eastAsia="Times New Roman" w:hAnsi="Arial" w:cs="Arial"/>
          <w:b/>
          <w:bCs/>
          <w:color w:val="FC5D5D"/>
          <w:kern w:val="36"/>
          <w:sz w:val="48"/>
          <w:szCs w:val="48"/>
          <w:lang w:eastAsia="en-GB"/>
        </w:rPr>
        <w:t>ng</w:t>
      </w:r>
      <w:r w:rsidR="00822594">
        <w:rPr>
          <w:rFonts w:ascii="Arial" w:eastAsia="Times New Roman" w:hAnsi="Arial" w:cs="Arial"/>
          <w:b/>
          <w:bCs/>
          <w:color w:val="FC5D5D"/>
          <w:kern w:val="36"/>
          <w:sz w:val="48"/>
          <w:szCs w:val="48"/>
          <w:lang w:eastAsia="en-GB"/>
        </w:rPr>
        <w:t xml:space="preserve"> Co</w:t>
      </w:r>
      <w:r w:rsidR="006A3676">
        <w:rPr>
          <w:rFonts w:ascii="Arial" w:eastAsia="Times New Roman" w:hAnsi="Arial" w:cs="Arial"/>
          <w:b/>
          <w:bCs/>
          <w:color w:val="FC5D5D"/>
          <w:kern w:val="36"/>
          <w:sz w:val="48"/>
          <w:szCs w:val="48"/>
          <w:lang w:eastAsia="en-GB"/>
        </w:rPr>
        <w:t>mmunity</w:t>
      </w:r>
      <w:r w:rsidR="006D7E08">
        <w:rPr>
          <w:rFonts w:ascii="Arial" w:eastAsia="Times New Roman" w:hAnsi="Arial" w:cs="Arial"/>
          <w:b/>
          <w:bCs/>
          <w:color w:val="FC5D5D"/>
          <w:kern w:val="36"/>
          <w:sz w:val="48"/>
          <w:szCs w:val="48"/>
          <w:lang w:eastAsia="en-GB"/>
        </w:rPr>
        <w:t xml:space="preserve"> Resea</w:t>
      </w:r>
      <w:r w:rsidR="0013712E">
        <w:rPr>
          <w:rFonts w:ascii="Arial" w:eastAsia="Times New Roman" w:hAnsi="Arial" w:cs="Arial"/>
          <w:b/>
          <w:bCs/>
          <w:color w:val="FC5D5D"/>
          <w:kern w:val="36"/>
          <w:sz w:val="48"/>
          <w:szCs w:val="48"/>
          <w:lang w:eastAsia="en-GB"/>
        </w:rPr>
        <w:t>rch</w:t>
      </w:r>
      <w:r w:rsidR="00DC2BC3">
        <w:rPr>
          <w:rFonts w:ascii="Arial" w:eastAsia="Times New Roman" w:hAnsi="Arial" w:cs="Arial"/>
          <w:b/>
          <w:bCs/>
          <w:color w:val="FC5D5D"/>
          <w:kern w:val="36"/>
          <w:sz w:val="48"/>
          <w:szCs w:val="48"/>
          <w:lang w:eastAsia="en-GB"/>
        </w:rPr>
        <w:t xml:space="preserve"> Partnershi</w:t>
      </w:r>
      <w:r w:rsidR="005A1A30">
        <w:rPr>
          <w:rFonts w:ascii="Arial" w:eastAsia="Times New Roman" w:hAnsi="Arial" w:cs="Arial"/>
          <w:b/>
          <w:bCs/>
          <w:color w:val="FC5D5D"/>
          <w:kern w:val="36"/>
          <w:sz w:val="48"/>
          <w:szCs w:val="48"/>
          <w:lang w:eastAsia="en-GB"/>
        </w:rPr>
        <w:t>ps</w:t>
      </w:r>
      <w:r w:rsidR="00E94547">
        <w:rPr>
          <w:rFonts w:ascii="Arial" w:eastAsia="Times New Roman" w:hAnsi="Arial" w:cs="Arial"/>
          <w:b/>
          <w:bCs/>
          <w:color w:val="FC5D5D"/>
          <w:kern w:val="36"/>
          <w:sz w:val="48"/>
          <w:szCs w:val="48"/>
          <w:lang w:eastAsia="en-GB"/>
        </w:rPr>
        <w:t xml:space="preserve"> </w:t>
      </w:r>
      <w:r w:rsidR="00FE6E3B">
        <w:rPr>
          <w:rFonts w:ascii="Arial" w:eastAsia="Times New Roman" w:hAnsi="Arial" w:cs="Arial"/>
          <w:b/>
          <w:bCs/>
          <w:color w:val="FC5D5D"/>
          <w:kern w:val="36"/>
          <w:sz w:val="48"/>
          <w:szCs w:val="48"/>
          <w:lang w:eastAsia="en-GB"/>
        </w:rPr>
        <w:t xml:space="preserve">- </w:t>
      </w:r>
      <w:r w:rsidR="00FE6E3B" w:rsidRPr="00412D8B">
        <w:rPr>
          <w:rFonts w:ascii="Arial" w:eastAsia="Times New Roman" w:hAnsi="Arial" w:cs="Arial"/>
          <w:b/>
          <w:bCs/>
          <w:color w:val="FC5D5D"/>
          <w:kern w:val="36"/>
          <w:sz w:val="48"/>
          <w:szCs w:val="48"/>
          <w:lang w:eastAsia="en-GB"/>
        </w:rPr>
        <w:t>Seed</w:t>
      </w:r>
      <w:r w:rsidR="004155AD" w:rsidRPr="00412D8B">
        <w:rPr>
          <w:rFonts w:ascii="Arial" w:eastAsia="Times New Roman" w:hAnsi="Arial" w:cs="Arial"/>
          <w:b/>
          <w:bCs/>
          <w:color w:val="FC5D5D"/>
          <w:kern w:val="36"/>
          <w:sz w:val="48"/>
          <w:szCs w:val="48"/>
          <w:lang w:eastAsia="en-GB"/>
        </w:rPr>
        <w:t xml:space="preserve"> Funding Awards</w:t>
      </w:r>
    </w:p>
    <w:p w14:paraId="7790E17E" w14:textId="77777777" w:rsidR="00CE04C9" w:rsidRPr="00412D8B" w:rsidRDefault="00CE04C9" w:rsidP="004155AD">
      <w:pPr>
        <w:spacing w:before="100" w:beforeAutospacing="1" w:after="100" w:afterAutospacing="1" w:line="300" w:lineRule="atLeast"/>
        <w:outlineLvl w:val="1"/>
        <w:rPr>
          <w:rFonts w:ascii="Arial" w:eastAsia="Times New Roman" w:hAnsi="Arial" w:cs="Arial"/>
          <w:b/>
          <w:bCs/>
          <w:color w:val="FC5D5D"/>
          <w:sz w:val="32"/>
          <w:szCs w:val="32"/>
          <w:lang w:eastAsia="en-GB"/>
        </w:rPr>
      </w:pPr>
    </w:p>
    <w:p w14:paraId="75C7CC18" w14:textId="79CAE3C4" w:rsidR="004155AD" w:rsidRPr="00412D8B" w:rsidRDefault="004155AD" w:rsidP="004155AD">
      <w:pPr>
        <w:spacing w:before="100" w:beforeAutospacing="1" w:after="100" w:afterAutospacing="1" w:line="300" w:lineRule="atLeast"/>
        <w:outlineLvl w:val="1"/>
        <w:rPr>
          <w:rFonts w:ascii="Arial" w:eastAsia="Times New Roman" w:hAnsi="Arial" w:cs="Arial"/>
          <w:b/>
          <w:bCs/>
          <w:color w:val="FC5D5D"/>
          <w:sz w:val="32"/>
          <w:szCs w:val="32"/>
          <w:lang w:eastAsia="en-GB"/>
        </w:rPr>
      </w:pPr>
      <w:r w:rsidRPr="00412D8B">
        <w:rPr>
          <w:rFonts w:ascii="Arial" w:eastAsia="Times New Roman" w:hAnsi="Arial" w:cs="Arial"/>
          <w:b/>
          <w:bCs/>
          <w:color w:val="FC5D5D"/>
          <w:sz w:val="32"/>
          <w:szCs w:val="32"/>
          <w:lang w:eastAsia="en-GB"/>
        </w:rPr>
        <w:t>Frequently Asked Questions</w:t>
      </w:r>
    </w:p>
    <w:p w14:paraId="72E829AA"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1. What are the Seed Funding Awards?</w:t>
      </w:r>
    </w:p>
    <w:p w14:paraId="4F934230"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The awards provide small grants to support early engagement and partnership-building between researchers, communities and voluntary, community and social enterprise (VCSE) organisations before a research funding application is developed. They create time and space for partners to build relationships, share perspectives, understand local needs and explore opportunities for future collaboration.</w:t>
      </w:r>
    </w:p>
    <w:p w14:paraId="5F5F06C6"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2. Who is providing the funding?</w:t>
      </w:r>
    </w:p>
    <w:p w14:paraId="5B93C3E0" w14:textId="2BE0BFA4"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 xml:space="preserve">The Sussex &amp; Surrey Research Engagement Network (SS REN) is </w:t>
      </w:r>
      <w:r w:rsidR="008716EF">
        <w:rPr>
          <w:rFonts w:ascii="Arial" w:eastAsia="Times New Roman" w:hAnsi="Arial" w:cs="Arial"/>
          <w:sz w:val="24"/>
          <w:szCs w:val="24"/>
          <w:lang w:eastAsia="en-GB"/>
        </w:rPr>
        <w:t xml:space="preserve">providing the funding </w:t>
      </w:r>
      <w:r w:rsidR="00FE3685">
        <w:rPr>
          <w:rFonts w:ascii="Arial" w:eastAsia="Times New Roman" w:hAnsi="Arial" w:cs="Arial"/>
          <w:sz w:val="24"/>
          <w:szCs w:val="24"/>
          <w:lang w:eastAsia="en-GB"/>
        </w:rPr>
        <w:t xml:space="preserve">and </w:t>
      </w:r>
      <w:r>
        <w:rPr>
          <w:rFonts w:ascii="Arial" w:eastAsia="Times New Roman" w:hAnsi="Arial" w:cs="Arial"/>
          <w:sz w:val="24"/>
          <w:szCs w:val="24"/>
          <w:lang w:eastAsia="en-GB"/>
        </w:rPr>
        <w:t>delivering the programme in partnership with the National Institute for Health and Care Research Applied Research Collaboration Kent, Surrey and Sussex (ARC KSS).</w:t>
      </w:r>
    </w:p>
    <w:p w14:paraId="4ECE626F"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3. Who can apply?</w:t>
      </w:r>
    </w:p>
    <w:p w14:paraId="5EA3120A"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Applications must be made jointly by:</w:t>
      </w:r>
    </w:p>
    <w:p w14:paraId="30F8020B"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At least one community or VCSE organisation.</w:t>
      </w:r>
    </w:p>
    <w:p w14:paraId="357335DD"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A researcher, research team or research organisation, such as a university, NHS organisation, local authority or another organisation involved in research. This can include early career researchers, clinical researchers and multidisciplinary research teams.</w:t>
      </w:r>
    </w:p>
    <w:p w14:paraId="1FE63F45"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The researcher or research team and the community or VCSE partner must be from different organisations. All partners should be genuinely involved in planning and delivering the proposed activity.</w:t>
      </w:r>
    </w:p>
    <w:p w14:paraId="5F1607B1"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4. Can a community organisation apply without a researcher?</w:t>
      </w:r>
    </w:p>
    <w:p w14:paraId="6B31F208"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No. Applications must be made jointly by at least one community or VCSE organisation and a researcher, research team or research organisation.</w:t>
      </w:r>
    </w:p>
    <w:p w14:paraId="761F09D9"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5. Can a researcher apply without a community partner?</w:t>
      </w:r>
    </w:p>
    <w:p w14:paraId="1FC9CE3C"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lastRenderedPageBreak/>
        <w:t>No. Researchers must apply with at least one community or VCSE organisation.</w:t>
      </w:r>
    </w:p>
    <w:p w14:paraId="1BF985C7"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6. Who must submit the application?</w:t>
      </w:r>
    </w:p>
    <w:p w14:paraId="4E8DDCB0"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Either partner can submit the application, but the application must show a genuine partnership in planning and delivering the proposed activity.</w:t>
      </w:r>
    </w:p>
    <w:p w14:paraId="33582B06"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7. What areas does the funding cover?</w:t>
      </w:r>
    </w:p>
    <w:p w14:paraId="58774BE9" w14:textId="674A6209"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The first funding round is for Sussex and Surrey. A second round for Kent will open in April 2027, with further details available in January 2027. At least one community or VCSE partner and the proposed engagement activity must be based in the relevant funding area. For this funding, Kent, Surrey and Sussex exclude Greater London and the London boroughs.</w:t>
      </w:r>
    </w:p>
    <w:p w14:paraId="73A81577"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8. How much funding can we apply for?</w:t>
      </w:r>
    </w:p>
    <w:p w14:paraId="124C5EAF" w14:textId="2A9D3D83"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 xml:space="preserve">Applicants can request up to £2,000 per project. </w:t>
      </w:r>
      <w:r w:rsidR="00EC3E4D" w:rsidRPr="00EC3E4D">
        <w:rPr>
          <w:rFonts w:ascii="Arial" w:eastAsia="Times New Roman" w:hAnsi="Arial" w:cs="Arial"/>
          <w:sz w:val="24"/>
          <w:szCs w:val="24"/>
          <w:lang w:eastAsia="en-GB"/>
        </w:rPr>
        <w:t>Funding requests should provide an indicative budget showing how the funding is expected to be used. Successful applicants may be asked to refine and agree a more detailed budget before funding is released</w:t>
      </w:r>
      <w:r w:rsidR="00EC3E4D">
        <w:rPr>
          <w:rFonts w:ascii="Arial" w:eastAsia="Times New Roman" w:hAnsi="Arial" w:cs="Arial"/>
          <w:sz w:val="24"/>
          <w:szCs w:val="24"/>
          <w:lang w:eastAsia="en-GB"/>
        </w:rPr>
        <w:t>.</w:t>
      </w:r>
    </w:p>
    <w:p w14:paraId="16D91B25"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9. How many awards are available?</w:t>
      </w:r>
    </w:p>
    <w:p w14:paraId="21F31D6E" w14:textId="2ED59A79"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It is anticipated that seven awards will be made across Sussex and Surrey. A further two awards are anticipated for the Kent round.</w:t>
      </w:r>
    </w:p>
    <w:p w14:paraId="06BCC747"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10. What can the funding be used for?</w:t>
      </w:r>
    </w:p>
    <w:p w14:paraId="133598C2"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The funding can support early engagement and partnership-building activities that enable partners to:</w:t>
      </w:r>
    </w:p>
    <w:p w14:paraId="0A31F32B"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conduct community engagement and partnership-building activities;</w:t>
      </w:r>
    </w:p>
    <w:p w14:paraId="394A5DF0"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explore shared interests and opportunities for collaboration;</w:t>
      </w:r>
    </w:p>
    <w:p w14:paraId="75028532"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build new local partnerships, strengthen existing relationships and build trust;</w:t>
      </w:r>
    </w:p>
    <w:p w14:paraId="7CBCB42A"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understand barriers and facilitators to research participation for underserved groups;</w:t>
      </w:r>
    </w:p>
    <w:p w14:paraId="6E58A9C3"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share knowledge, experiences and perspectives on local health and care challenges;</w:t>
      </w:r>
    </w:p>
    <w:p w14:paraId="5A759D71"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identify and address barriers that may affect participation in research;</w:t>
      </w:r>
    </w:p>
    <w:p w14:paraId="6D25DEC6"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explore opportunities for underserved communities to engage and participate in research; and</w:t>
      </w:r>
    </w:p>
    <w:p w14:paraId="60E05341"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strengthen links between community organisations, researchers and the wider research system.</w:t>
      </w:r>
    </w:p>
    <w:p w14:paraId="18E6D23C"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11. What types of costs are eligible?</w:t>
      </w:r>
    </w:p>
    <w:p w14:paraId="6A1C17AB"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lastRenderedPageBreak/>
        <w:t>Eligible costs may include:</w:t>
      </w:r>
    </w:p>
    <w:p w14:paraId="52C4ED16"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payments, rewards or incentives for public contributors;</w:t>
      </w:r>
    </w:p>
    <w:p w14:paraId="67C84965"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payments to community organisations supporting engagement and partnership-building;</w:t>
      </w:r>
    </w:p>
    <w:p w14:paraId="09B490D2"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meeting room hire and refreshments;</w:t>
      </w:r>
    </w:p>
    <w:p w14:paraId="6F2475B1"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online meeting and engagement platforms;</w:t>
      </w:r>
    </w:p>
    <w:p w14:paraId="64C40A59"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materials for workshops and creative engagement activities;</w:t>
      </w:r>
    </w:p>
    <w:p w14:paraId="4FCDECB2"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travel and reasonable out-of-pocket expenses;</w:t>
      </w:r>
    </w:p>
    <w:p w14:paraId="29FE45E0"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accessibility support and reasonable adjustments;</w:t>
      </w:r>
    </w:p>
    <w:p w14:paraId="1ACB7AB8"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development of engagement materials, videos, infographics and other accessible resources;</w:t>
      </w:r>
    </w:p>
    <w:p w14:paraId="0B2F9E3E"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translation, interpreting and communication support, including British Sign Language and Easy Read production; and</w:t>
      </w:r>
    </w:p>
    <w:p w14:paraId="3CD6693F"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other reasonable costs directly associated with community engagement and partnership-building.</w:t>
      </w:r>
    </w:p>
    <w:p w14:paraId="08905C9F"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12. What costs are not eligible?</w:t>
      </w:r>
    </w:p>
    <w:p w14:paraId="253E0539"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The funding cannot cover:</w:t>
      </w:r>
    </w:p>
    <w:p w14:paraId="575B1DCB"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directly incurred research staff time;</w:t>
      </w:r>
    </w:p>
    <w:p w14:paraId="5D92D687"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salaries or backfill costs for universities, NHS organisations, local authorities or other research organisations;</w:t>
      </w:r>
    </w:p>
    <w:p w14:paraId="653CD474"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estates and infrastructure costs;</w:t>
      </w:r>
    </w:p>
    <w:p w14:paraId="69AF570E"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general organisational overheads;</w:t>
      </w:r>
    </w:p>
    <w:p w14:paraId="06ABAA07"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research design, delivery or data collection activities;</w:t>
      </w:r>
    </w:p>
    <w:p w14:paraId="02A67E47"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development of fully defined research proposals; or</w:t>
      </w:r>
    </w:p>
    <w:p w14:paraId="484711F4"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costs incurred after the funded activity has been completed.</w:t>
      </w:r>
    </w:p>
    <w:p w14:paraId="6988A544"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13. Can the funding be used to develop an existing research proposal?</w:t>
      </w:r>
    </w:p>
    <w:p w14:paraId="3A391A90"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No. The funding is for early engagement and partnership-building before a research funding application is developed. It cannot support public involvement to develop or refine a proposal that is already substantially defined, or activity taking place after a proposal has been fully developed and is moving towards submission or delivery.</w:t>
      </w:r>
    </w:p>
    <w:p w14:paraId="3BBCDFA1"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14. Can the award pay for research activity?</w:t>
      </w:r>
    </w:p>
    <w:p w14:paraId="57DBEABE"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No. The award cannot fund the design or delivery of research projects, data collection or research prioritisation exercises.</w:t>
      </w:r>
    </w:p>
    <w:p w14:paraId="2AC97143"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15. Does our idea need to lead to a future research proposal?</w:t>
      </w:r>
    </w:p>
    <w:p w14:paraId="0D0AE2F2"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 xml:space="preserve">Activities should show the potential to inform future inclusive research projects that may be submitted to the NIHR or other research funders. Applicants should focus on </w:t>
      </w:r>
      <w:r>
        <w:rPr>
          <w:rFonts w:ascii="Arial" w:eastAsia="Times New Roman" w:hAnsi="Arial" w:cs="Arial"/>
          <w:sz w:val="24"/>
          <w:szCs w:val="24"/>
          <w:lang w:eastAsia="en-GB"/>
        </w:rPr>
        <w:lastRenderedPageBreak/>
        <w:t>the longer-term outcomes the partnership could achieve, but a future research proposal is not guaranteed.</w:t>
      </w:r>
    </w:p>
    <w:p w14:paraId="75B11BF4"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16. What is meant by “underserved communities”?</w:t>
      </w:r>
    </w:p>
    <w:p w14:paraId="79C9C773" w14:textId="77777777" w:rsidR="008C2654" w:rsidRDefault="000A3DCE" w:rsidP="008C2654">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 xml:space="preserve">Underserved communities are people and groups who are underrepresented in research or experience barriers to participation. This will vary by research topic, setting and local context. Examples may include people from </w:t>
      </w:r>
      <w:r w:rsidR="00C767AE">
        <w:rPr>
          <w:rFonts w:ascii="Arial" w:eastAsia="Times New Roman" w:hAnsi="Arial" w:cs="Arial"/>
          <w:sz w:val="24"/>
          <w:szCs w:val="24"/>
          <w:lang w:eastAsia="en-GB"/>
        </w:rPr>
        <w:t>minoritised ethnic communities</w:t>
      </w:r>
      <w:r>
        <w:rPr>
          <w:rFonts w:ascii="Arial" w:eastAsia="Times New Roman" w:hAnsi="Arial" w:cs="Arial"/>
          <w:sz w:val="24"/>
          <w:szCs w:val="24"/>
          <w:lang w:eastAsia="en-GB"/>
        </w:rPr>
        <w:t xml:space="preserve">, people living in areas of deprivation, disabled people, people experiencing homelessness, carers, rural communities, refugees and asylum seekers, LGBTQ+ communities and </w:t>
      </w:r>
      <w:r w:rsidR="008C2654" w:rsidRPr="008C2654">
        <w:rPr>
          <w:rFonts w:ascii="Arial" w:eastAsia="Times New Roman" w:hAnsi="Arial" w:cs="Arial"/>
          <w:sz w:val="24"/>
          <w:szCs w:val="24"/>
          <w:lang w:eastAsia="en-GB"/>
        </w:rPr>
        <w:t>other groups that may be underrepresented in research or experience barriers to participation</w:t>
      </w:r>
      <w:r w:rsidR="008C2654">
        <w:rPr>
          <w:rFonts w:ascii="Arial" w:eastAsia="Times New Roman" w:hAnsi="Arial" w:cs="Arial"/>
          <w:sz w:val="24"/>
          <w:szCs w:val="24"/>
          <w:lang w:eastAsia="en-GB"/>
        </w:rPr>
        <w:t>.</w:t>
      </w:r>
    </w:p>
    <w:p w14:paraId="22165B0D" w14:textId="7AC88601" w:rsidR="00600813" w:rsidRDefault="000A3DCE" w:rsidP="008C2654">
      <w:pPr>
        <w:spacing w:before="100" w:beforeAutospacing="1" w:after="100" w:afterAutospacing="1" w:line="300" w:lineRule="atLeast"/>
        <w:rPr>
          <w:rFonts w:ascii="Arial" w:eastAsia="Times New Roman" w:hAnsi="Arial" w:cs="Arial"/>
          <w:b/>
          <w:bCs/>
          <w:sz w:val="24"/>
          <w:szCs w:val="24"/>
          <w:lang w:eastAsia="en-GB"/>
        </w:rPr>
      </w:pPr>
      <w:r>
        <w:rPr>
          <w:rFonts w:ascii="Arial" w:eastAsia="Times New Roman" w:hAnsi="Arial" w:cs="Arial"/>
          <w:b/>
          <w:bCs/>
          <w:sz w:val="24"/>
          <w:szCs w:val="24"/>
          <w:lang w:eastAsia="en-GB"/>
        </w:rPr>
        <w:t>17. Does the project need to involve an underserved community?</w:t>
      </w:r>
    </w:p>
    <w:p w14:paraId="4EAFBF03"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Applications should demonstrate a commitment to engaging communities that are underrepresented in research or experience barriers to participation. Applicants should explain how their activities will create opportunities for underserved communities to engage with research and research-related discussions.</w:t>
      </w:r>
    </w:p>
    <w:p w14:paraId="473FC642"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18. What makes a strong application?</w:t>
      </w:r>
    </w:p>
    <w:p w14:paraId="74A5A897"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Strong applications will demonstrate:</w:t>
      </w:r>
    </w:p>
    <w:p w14:paraId="1241A829"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meaningful opportunities for researchers, communities and VCSE organisations to build relationships, share knowledge and explore mutual interests;</w:t>
      </w:r>
    </w:p>
    <w:p w14:paraId="7BDCF7BF"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a genuine and equitable partnership that values community knowledge, expertise and lived experience alongside research expertise;</w:t>
      </w:r>
    </w:p>
    <w:p w14:paraId="671945D5"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alignment with the UK Standards for Public Involvement and NIHR Public Partnership objectives;</w:t>
      </w:r>
    </w:p>
    <w:p w14:paraId="4F98E880"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a commitment to engaging underserved communities;</w:t>
      </w:r>
    </w:p>
    <w:p w14:paraId="381C5476"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creative or innovative engagement approaches where appropriate;</w:t>
      </w:r>
    </w:p>
    <w:p w14:paraId="31E1042A"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potential to build trusted and sustainable relationships beyond the funded activity;</w:t>
      </w:r>
    </w:p>
    <w:p w14:paraId="20699C2C"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potential to inform future inclusive research;</w:t>
      </w:r>
    </w:p>
    <w:p w14:paraId="0E990074"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potential to support future collaboration, community engagement and research opportunities; and</w:t>
      </w:r>
    </w:p>
    <w:p w14:paraId="1EB32C06"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value for money.</w:t>
      </w:r>
    </w:p>
    <w:p w14:paraId="5AAC9967"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19. Can we use a creative approach to engagement?</w:t>
      </w:r>
    </w:p>
    <w:p w14:paraId="2A85D93D"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Yes. Creative and innovative approaches are welcomed, provided they create genuine opportunities for researchers, communities and VCSE organisations to build relationships, share knowledge and perspectives, and explore areas of mutual interest.</w:t>
      </w:r>
    </w:p>
    <w:p w14:paraId="6BEBC450"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lastRenderedPageBreak/>
        <w:t>20. Do partnerships need to continue after the funded activity?</w:t>
      </w:r>
    </w:p>
    <w:p w14:paraId="4ED71205"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Applicants should explain how relationships and connections may continue beyond the funded activity. The programme is looking for activities that support sustainable and trusted relationships rather than one-off engagement.</w:t>
      </w:r>
    </w:p>
    <w:p w14:paraId="2BDB2575"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21. Who will receive and manage the funding?</w:t>
      </w:r>
    </w:p>
    <w:p w14:paraId="1138B29A"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For the Sussex and Surrey round, SS REN will pay the funding directly to the community organisation co-leading the application. Invoicing arrangements will be agreed at the start of the activity.</w:t>
      </w:r>
    </w:p>
    <w:p w14:paraId="47288128"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22. How do we apply?</w:t>
      </w:r>
    </w:p>
    <w:p w14:paraId="77EFB2BF" w14:textId="3F34D664"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 xml:space="preserve">Complete the application form </w:t>
      </w:r>
      <w:r w:rsidR="00047D3C">
        <w:rPr>
          <w:rFonts w:ascii="Arial" w:eastAsia="Times New Roman" w:hAnsi="Arial" w:cs="Arial"/>
          <w:sz w:val="24"/>
          <w:szCs w:val="24"/>
          <w:lang w:eastAsia="en-GB"/>
        </w:rPr>
        <w:t xml:space="preserve">via the following link </w:t>
      </w:r>
      <w:hyperlink r:id="rId10" w:history="1">
        <w:r w:rsidR="00047D3C" w:rsidRPr="00047D3C">
          <w:rPr>
            <w:rStyle w:val="Hyperlink"/>
            <w:rFonts w:ascii="Arial" w:eastAsia="Times New Roman" w:hAnsi="Arial" w:cs="Arial"/>
            <w:sz w:val="24"/>
            <w:szCs w:val="24"/>
            <w:lang w:eastAsia="en-GB"/>
          </w:rPr>
          <w:t>Building Community Research Partnerships Seed Funding Application Form – Fill in form</w:t>
        </w:r>
      </w:hyperlink>
    </w:p>
    <w:p w14:paraId="41A933B6"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23. When is the application deadline?</w:t>
      </w:r>
    </w:p>
    <w:p w14:paraId="13319D5E"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Applications for the Sussex and Surrey round must be submitted by 12 noon on 27 November 2026.</w:t>
      </w:r>
    </w:p>
    <w:p w14:paraId="716EE73A"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24. How will applications be assessed?</w:t>
      </w:r>
    </w:p>
    <w:p w14:paraId="46A9923B"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Applications will be reviewed through a two-stage process. They will first receive an eligibility check. Eligible applications will then be assessed by a panel with representatives from SS REN, ARC KSS and two public or community representatives.</w:t>
      </w:r>
    </w:p>
    <w:p w14:paraId="725BCC81"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The panel will consider:</w:t>
      </w:r>
    </w:p>
    <w:p w14:paraId="46C1605B"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fit with the aims of the funding call;</w:t>
      </w:r>
    </w:p>
    <w:p w14:paraId="039A67B1"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quality of the proposed engagement and partnership-building activities;</w:t>
      </w:r>
    </w:p>
    <w:p w14:paraId="5588A29A"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approach to community involvement;</w:t>
      </w:r>
    </w:p>
    <w:p w14:paraId="75D2DBB6"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commitment to engaging underserved communities;</w:t>
      </w:r>
    </w:p>
    <w:p w14:paraId="3543D94B"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potential to build trusted and sustainable relationships;</w:t>
      </w:r>
    </w:p>
    <w:p w14:paraId="06F3D59C"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potential to support future collaboration, community engagement and/or inclusive research opportunities; and</w:t>
      </w:r>
    </w:p>
    <w:p w14:paraId="53568076"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value for money.</w:t>
      </w:r>
    </w:p>
    <w:p w14:paraId="388B10F3"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25. When will applicants hear the outcome?</w:t>
      </w:r>
    </w:p>
    <w:p w14:paraId="4A160B33"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Successful applicants will be notified by 11 December 2026. Unsuccessful applicants will also be informed of the outcome.</w:t>
      </w:r>
    </w:p>
    <w:p w14:paraId="4AB883F6"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26. When must funded activities take place?</w:t>
      </w:r>
    </w:p>
    <w:p w14:paraId="23AB4571"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lastRenderedPageBreak/>
        <w:t>For the Sussex and Surrey round, funded activities are scheduled to take place from 1 January to 31 March 2027. All project activity and expenditure must be completed by 31 March 2027 and cannot be extended beyond this date.</w:t>
      </w:r>
    </w:p>
    <w:p w14:paraId="7C93C80E"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27. Will we need to submit a report?</w:t>
      </w:r>
    </w:p>
    <w:p w14:paraId="4C6EB047"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Yes. Successful applicants must submit a short final report using a template provided by the funders. The report, or parts of it, may be published on partner websites and shared through social media. Applicants will be able to review the material and provide consent before it is shared.</w:t>
      </w:r>
    </w:p>
    <w:p w14:paraId="4D6D82E9"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28. What information will the final report cover?</w:t>
      </w:r>
    </w:p>
    <w:p w14:paraId="7D440CCB"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The report will include:</w:t>
      </w:r>
    </w:p>
    <w:p w14:paraId="36ABB405"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the challenge, opportunity or area of interest explored;</w:t>
      </w:r>
    </w:p>
    <w:p w14:paraId="7425E96C"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activities delivered;</w:t>
      </w:r>
    </w:p>
    <w:p w14:paraId="6D78CA9E"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people and organisations involved, including underserved groups engaged;</w:t>
      </w:r>
    </w:p>
    <w:p w14:paraId="4E020F4D"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key learning and outcomes;</w:t>
      </w:r>
    </w:p>
    <w:p w14:paraId="4011D936"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new or strengthened partnerships and relationships;</w:t>
      </w:r>
    </w:p>
    <w:p w14:paraId="07C6B71A"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opportunities identified for future collaboration, community engagement and/or research; and</w:t>
      </w:r>
    </w:p>
    <w:p w14:paraId="6D6B02AF" w14:textId="77777777" w:rsidR="00600813" w:rsidRDefault="000A3DCE">
      <w:pPr>
        <w:pStyle w:val="ListParagraph"/>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potential pathways to impact.</w:t>
      </w:r>
    </w:p>
    <w:p w14:paraId="3D52F427"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29. When is the final report due?</w:t>
      </w:r>
    </w:p>
    <w:p w14:paraId="326D4A52"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The final report must be submitted by 14 April 2027.</w:t>
      </w:r>
    </w:p>
    <w:p w14:paraId="25C8F093"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30. Is there any further follow-up?</w:t>
      </w:r>
    </w:p>
    <w:p w14:paraId="28C20781"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Yes. Successful applicants will be asked to provide a brief update in October 2027. This will help capture longer-term outcomes, including ongoing partnerships, increased awareness of research among underserved communities, future collaborative activities or research opportunities arising from the funded activity.</w:t>
      </w:r>
    </w:p>
    <w:p w14:paraId="36A69A02" w14:textId="77777777" w:rsidR="00600813" w:rsidRDefault="000A3DCE">
      <w:pPr>
        <w:spacing w:before="100" w:beforeAutospacing="1" w:after="100" w:afterAutospacing="1" w:line="300" w:lineRule="atLeast"/>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31. Can we discuss our idea before applying?</w:t>
      </w:r>
    </w:p>
    <w:p w14:paraId="306F16C5" w14:textId="77777777" w:rsidR="00600813" w:rsidRDefault="000A3DC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Yes. Contact Olivia Cottington at SussexREN@bsms.ac.uk with questions or to discuss a proposal before applying.</w:t>
      </w:r>
    </w:p>
    <w:p w14:paraId="042FCDEE" w14:textId="77777777" w:rsidR="00BF7129" w:rsidRPr="00412D8B" w:rsidRDefault="00BF7129">
      <w:pPr>
        <w:rPr>
          <w:rFonts w:ascii="Arial" w:hAnsi="Arial" w:cs="Arial"/>
          <w:sz w:val="24"/>
          <w:szCs w:val="24"/>
        </w:rPr>
      </w:pPr>
    </w:p>
    <w:sectPr w:rsidR="00BF7129" w:rsidRPr="00412D8B">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A3E9E" w14:textId="77777777" w:rsidR="001320E0" w:rsidRDefault="001320E0" w:rsidP="00CE04C9">
      <w:pPr>
        <w:spacing w:after="0" w:line="240" w:lineRule="auto"/>
      </w:pPr>
      <w:r>
        <w:separator/>
      </w:r>
    </w:p>
  </w:endnote>
  <w:endnote w:type="continuationSeparator" w:id="0">
    <w:p w14:paraId="68EBB0C9" w14:textId="77777777" w:rsidR="001320E0" w:rsidRDefault="001320E0" w:rsidP="00CE0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19104" w14:textId="77777777" w:rsidR="001320E0" w:rsidRDefault="001320E0" w:rsidP="00CE04C9">
      <w:pPr>
        <w:spacing w:after="0" w:line="240" w:lineRule="auto"/>
      </w:pPr>
      <w:r>
        <w:separator/>
      </w:r>
    </w:p>
  </w:footnote>
  <w:footnote w:type="continuationSeparator" w:id="0">
    <w:p w14:paraId="46EAFFD8" w14:textId="77777777" w:rsidR="001320E0" w:rsidRDefault="001320E0" w:rsidP="00CE0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84B2" w14:textId="492B3D44" w:rsidR="00CE04C9" w:rsidRDefault="00CE04C9">
    <w:pPr>
      <w:pStyle w:val="Header"/>
    </w:pPr>
    <w:r>
      <w:rPr>
        <w:noProof/>
      </w:rPr>
      <w:drawing>
        <wp:anchor distT="0" distB="0" distL="114300" distR="114300" simplePos="0" relativeHeight="251661312" behindDoc="0" locked="0" layoutInCell="1" allowOverlap="1" wp14:anchorId="1ADA3F9C" wp14:editId="5CEC1B74">
          <wp:simplePos x="0" y="0"/>
          <wp:positionH relativeFrom="margin">
            <wp:posOffset>3477390</wp:posOffset>
          </wp:positionH>
          <wp:positionV relativeFrom="paragraph">
            <wp:posOffset>-191177</wp:posOffset>
          </wp:positionV>
          <wp:extent cx="2388870" cy="323850"/>
          <wp:effectExtent l="0" t="0" r="0" b="0"/>
          <wp:wrapSquare wrapText="bothSides"/>
          <wp:docPr id="910613829" name="Picture 1">
            <a:extLst xmlns:a="http://schemas.openxmlformats.org/drawingml/2006/main">
              <a:ext uri="{FF2B5EF4-FFF2-40B4-BE49-F238E27FC236}">
                <a16:creationId xmlns:a16="http://schemas.microsoft.com/office/drawing/2014/main" id="{A3E11A60-F8DF-4E63-BB2D-6A0053798D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8870" cy="323850"/>
                  </a:xfrm>
                  <a:prstGeom prst="rect">
                    <a:avLst/>
                  </a:prstGeom>
                  <a:noFill/>
                </pic:spPr>
              </pic:pic>
            </a:graphicData>
          </a:graphic>
        </wp:anchor>
      </w:drawing>
    </w:r>
    <w:r>
      <w:rPr>
        <w:noProof/>
      </w:rPr>
      <w:drawing>
        <wp:anchor distT="0" distB="0" distL="114300" distR="114300" simplePos="0" relativeHeight="251659264" behindDoc="0" locked="0" layoutInCell="1" allowOverlap="1" wp14:anchorId="2A4B712F" wp14:editId="05E51130">
          <wp:simplePos x="0" y="0"/>
          <wp:positionH relativeFrom="margin">
            <wp:posOffset>-353746</wp:posOffset>
          </wp:positionH>
          <wp:positionV relativeFrom="paragraph">
            <wp:posOffset>-354562</wp:posOffset>
          </wp:positionV>
          <wp:extent cx="1793409" cy="755650"/>
          <wp:effectExtent l="0" t="0" r="0" b="6350"/>
          <wp:wrapSquare wrapText="bothSides"/>
          <wp:docPr id="3" name="Picture 2" descr="Patient and public involvement - University Hospitals Sussex NHS Foundation  Trust">
            <a:extLst xmlns:a="http://schemas.openxmlformats.org/drawingml/2006/main">
              <a:ext uri="{FF2B5EF4-FFF2-40B4-BE49-F238E27FC236}">
                <a16:creationId xmlns:a16="http://schemas.microsoft.com/office/drawing/2014/main" id="{B59BA942-31D4-4EE0-9DA2-93AFC4C6B5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tient and public involvement - University Hospitals Sussex NHS Foundation  Trus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93409" cy="7556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67485"/>
    <w:multiLevelType w:val="multilevel"/>
    <w:tmpl w:val="B986F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376843"/>
    <w:multiLevelType w:val="multilevel"/>
    <w:tmpl w:val="C422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6607E3"/>
    <w:multiLevelType w:val="multilevel"/>
    <w:tmpl w:val="7402D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4F332A"/>
    <w:multiLevelType w:val="multilevel"/>
    <w:tmpl w:val="1DA4A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C00E52"/>
    <w:multiLevelType w:val="multilevel"/>
    <w:tmpl w:val="1BFA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052450"/>
    <w:multiLevelType w:val="multilevel"/>
    <w:tmpl w:val="94AAC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304195"/>
    <w:multiLevelType w:val="multilevel"/>
    <w:tmpl w:val="45543D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3323884">
    <w:abstractNumId w:val="4"/>
  </w:num>
  <w:num w:numId="2" w16cid:durableId="2059209421">
    <w:abstractNumId w:val="6"/>
  </w:num>
  <w:num w:numId="3" w16cid:durableId="2090035219">
    <w:abstractNumId w:val="0"/>
  </w:num>
  <w:num w:numId="4" w16cid:durableId="609550864">
    <w:abstractNumId w:val="5"/>
  </w:num>
  <w:num w:numId="5" w16cid:durableId="69545898">
    <w:abstractNumId w:val="2"/>
  </w:num>
  <w:num w:numId="6" w16cid:durableId="827477044">
    <w:abstractNumId w:val="3"/>
  </w:num>
  <w:num w:numId="7" w16cid:durableId="886644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5AD"/>
    <w:rsid w:val="00047D3C"/>
    <w:rsid w:val="000A3DCE"/>
    <w:rsid w:val="000D0F2F"/>
    <w:rsid w:val="000E4971"/>
    <w:rsid w:val="000F2F41"/>
    <w:rsid w:val="00101C30"/>
    <w:rsid w:val="001320E0"/>
    <w:rsid w:val="00135754"/>
    <w:rsid w:val="0013712E"/>
    <w:rsid w:val="00140E0F"/>
    <w:rsid w:val="00273DB3"/>
    <w:rsid w:val="002D0381"/>
    <w:rsid w:val="002D7B38"/>
    <w:rsid w:val="002F66D9"/>
    <w:rsid w:val="00373DB3"/>
    <w:rsid w:val="00412D8B"/>
    <w:rsid w:val="004155AD"/>
    <w:rsid w:val="00424799"/>
    <w:rsid w:val="004B7647"/>
    <w:rsid w:val="004C16B1"/>
    <w:rsid w:val="00584015"/>
    <w:rsid w:val="00586409"/>
    <w:rsid w:val="005A1A30"/>
    <w:rsid w:val="005C4024"/>
    <w:rsid w:val="00600813"/>
    <w:rsid w:val="006455A3"/>
    <w:rsid w:val="00697929"/>
    <w:rsid w:val="006A3676"/>
    <w:rsid w:val="006D7E08"/>
    <w:rsid w:val="0073713F"/>
    <w:rsid w:val="007E25C1"/>
    <w:rsid w:val="00822594"/>
    <w:rsid w:val="00842E5F"/>
    <w:rsid w:val="00843FE9"/>
    <w:rsid w:val="00866543"/>
    <w:rsid w:val="008716EF"/>
    <w:rsid w:val="008A5BAA"/>
    <w:rsid w:val="008B04FC"/>
    <w:rsid w:val="008B0F92"/>
    <w:rsid w:val="008C2654"/>
    <w:rsid w:val="008F714E"/>
    <w:rsid w:val="009B3362"/>
    <w:rsid w:val="00AD35A7"/>
    <w:rsid w:val="00B1451D"/>
    <w:rsid w:val="00B7578A"/>
    <w:rsid w:val="00BD21D4"/>
    <w:rsid w:val="00BF7129"/>
    <w:rsid w:val="00C3275C"/>
    <w:rsid w:val="00C345F7"/>
    <w:rsid w:val="00C55823"/>
    <w:rsid w:val="00C767AE"/>
    <w:rsid w:val="00CB20B0"/>
    <w:rsid w:val="00CD178B"/>
    <w:rsid w:val="00CE04C9"/>
    <w:rsid w:val="00D772FD"/>
    <w:rsid w:val="00DC2BC3"/>
    <w:rsid w:val="00DE0B9B"/>
    <w:rsid w:val="00E101A4"/>
    <w:rsid w:val="00E321A3"/>
    <w:rsid w:val="00E94547"/>
    <w:rsid w:val="00EC3E4D"/>
    <w:rsid w:val="00EE1C39"/>
    <w:rsid w:val="00F21FEA"/>
    <w:rsid w:val="00FE3685"/>
    <w:rsid w:val="00FE6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FD475"/>
  <w15:chartTrackingRefBased/>
  <w15:docId w15:val="{3A5AA8D2-D34A-4407-925F-9EA2C7782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55A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155A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155A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155A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155A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155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55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55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55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5A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155A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155A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155A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155A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155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55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55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55AD"/>
    <w:rPr>
      <w:rFonts w:eastAsiaTheme="majorEastAsia" w:cstheme="majorBidi"/>
      <w:color w:val="272727" w:themeColor="text1" w:themeTint="D8"/>
    </w:rPr>
  </w:style>
  <w:style w:type="paragraph" w:styleId="Title">
    <w:name w:val="Title"/>
    <w:basedOn w:val="Normal"/>
    <w:next w:val="Normal"/>
    <w:link w:val="TitleChar"/>
    <w:uiPriority w:val="10"/>
    <w:qFormat/>
    <w:rsid w:val="004155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5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55A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55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55A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55AD"/>
    <w:rPr>
      <w:i/>
      <w:iCs/>
      <w:color w:val="404040" w:themeColor="text1" w:themeTint="BF"/>
    </w:rPr>
  </w:style>
  <w:style w:type="paragraph" w:styleId="ListParagraph">
    <w:name w:val="List Paragraph"/>
    <w:basedOn w:val="Normal"/>
    <w:uiPriority w:val="34"/>
    <w:qFormat/>
    <w:rsid w:val="004155AD"/>
    <w:pPr>
      <w:ind w:left="720"/>
      <w:contextualSpacing/>
    </w:pPr>
  </w:style>
  <w:style w:type="character" w:styleId="IntenseEmphasis">
    <w:name w:val="Intense Emphasis"/>
    <w:basedOn w:val="DefaultParagraphFont"/>
    <w:uiPriority w:val="21"/>
    <w:qFormat/>
    <w:rsid w:val="004155AD"/>
    <w:rPr>
      <w:i/>
      <w:iCs/>
      <w:color w:val="365F91" w:themeColor="accent1" w:themeShade="BF"/>
    </w:rPr>
  </w:style>
  <w:style w:type="paragraph" w:styleId="IntenseQuote">
    <w:name w:val="Intense Quote"/>
    <w:basedOn w:val="Normal"/>
    <w:next w:val="Normal"/>
    <w:link w:val="IntenseQuoteChar"/>
    <w:uiPriority w:val="30"/>
    <w:qFormat/>
    <w:rsid w:val="004155A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155AD"/>
    <w:rPr>
      <w:i/>
      <w:iCs/>
      <w:color w:val="365F91" w:themeColor="accent1" w:themeShade="BF"/>
    </w:rPr>
  </w:style>
  <w:style w:type="character" w:styleId="IntenseReference">
    <w:name w:val="Intense Reference"/>
    <w:basedOn w:val="DefaultParagraphFont"/>
    <w:uiPriority w:val="32"/>
    <w:qFormat/>
    <w:rsid w:val="004155AD"/>
    <w:rPr>
      <w:b/>
      <w:bCs/>
      <w:smallCaps/>
      <w:color w:val="365F91" w:themeColor="accent1" w:themeShade="BF"/>
      <w:spacing w:val="5"/>
    </w:rPr>
  </w:style>
  <w:style w:type="character" w:styleId="CommentReference">
    <w:name w:val="annotation reference"/>
    <w:basedOn w:val="DefaultParagraphFont"/>
    <w:uiPriority w:val="99"/>
    <w:semiHidden/>
    <w:unhideWhenUsed/>
    <w:rsid w:val="002D7B38"/>
    <w:rPr>
      <w:sz w:val="16"/>
      <w:szCs w:val="16"/>
    </w:rPr>
  </w:style>
  <w:style w:type="paragraph" w:styleId="CommentText">
    <w:name w:val="annotation text"/>
    <w:basedOn w:val="Normal"/>
    <w:link w:val="CommentTextChar"/>
    <w:uiPriority w:val="99"/>
    <w:unhideWhenUsed/>
    <w:rsid w:val="002D7B38"/>
    <w:pPr>
      <w:spacing w:line="240" w:lineRule="auto"/>
    </w:pPr>
    <w:rPr>
      <w:sz w:val="20"/>
      <w:szCs w:val="20"/>
    </w:rPr>
  </w:style>
  <w:style w:type="character" w:customStyle="1" w:styleId="CommentTextChar">
    <w:name w:val="Comment Text Char"/>
    <w:basedOn w:val="DefaultParagraphFont"/>
    <w:link w:val="CommentText"/>
    <w:uiPriority w:val="99"/>
    <w:rsid w:val="002D7B38"/>
    <w:rPr>
      <w:sz w:val="20"/>
      <w:szCs w:val="20"/>
    </w:rPr>
  </w:style>
  <w:style w:type="paragraph" w:styleId="CommentSubject">
    <w:name w:val="annotation subject"/>
    <w:basedOn w:val="CommentText"/>
    <w:next w:val="CommentText"/>
    <w:link w:val="CommentSubjectChar"/>
    <w:uiPriority w:val="99"/>
    <w:semiHidden/>
    <w:unhideWhenUsed/>
    <w:rsid w:val="002D7B38"/>
    <w:rPr>
      <w:b/>
      <w:bCs/>
    </w:rPr>
  </w:style>
  <w:style w:type="character" w:customStyle="1" w:styleId="CommentSubjectChar">
    <w:name w:val="Comment Subject Char"/>
    <w:basedOn w:val="CommentTextChar"/>
    <w:link w:val="CommentSubject"/>
    <w:uiPriority w:val="99"/>
    <w:semiHidden/>
    <w:rsid w:val="002D7B38"/>
    <w:rPr>
      <w:b/>
      <w:bCs/>
      <w:sz w:val="20"/>
      <w:szCs w:val="20"/>
    </w:rPr>
  </w:style>
  <w:style w:type="character" w:styleId="Hyperlink">
    <w:name w:val="Hyperlink"/>
    <w:basedOn w:val="DefaultParagraphFont"/>
    <w:uiPriority w:val="99"/>
    <w:unhideWhenUsed/>
    <w:rsid w:val="002D7B38"/>
    <w:rPr>
      <w:color w:val="0000FF" w:themeColor="hyperlink"/>
      <w:u w:val="single"/>
    </w:rPr>
  </w:style>
  <w:style w:type="paragraph" w:styleId="Header">
    <w:name w:val="header"/>
    <w:basedOn w:val="Normal"/>
    <w:link w:val="HeaderChar"/>
    <w:uiPriority w:val="99"/>
    <w:unhideWhenUsed/>
    <w:rsid w:val="00CE04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04C9"/>
  </w:style>
  <w:style w:type="paragraph" w:styleId="Footer">
    <w:name w:val="footer"/>
    <w:basedOn w:val="Normal"/>
    <w:link w:val="FooterChar"/>
    <w:uiPriority w:val="99"/>
    <w:unhideWhenUsed/>
    <w:rsid w:val="00CE04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04C9"/>
  </w:style>
  <w:style w:type="character" w:styleId="UnresolvedMention">
    <w:name w:val="Unresolved Mention"/>
    <w:basedOn w:val="DefaultParagraphFont"/>
    <w:uiPriority w:val="99"/>
    <w:semiHidden/>
    <w:unhideWhenUsed/>
    <w:rsid w:val="00047D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forms.cloud.microsoft/Pages/ResponsePage.aspx?id=kLsAqf6UWEaLNN1yCExQZMZ20t93rKNDsumaF92WPCZUQkNRTzlVTTMyT0FVOTUzMTU0QjQ3TEJTSi4u"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74CA1B846915439C214A7C057C6A68" ma:contentTypeVersion="15" ma:contentTypeDescription="Create a new document." ma:contentTypeScope="" ma:versionID="a5c435c38cd9e6da22957a80749da602">
  <xsd:schema xmlns:xsd="http://www.w3.org/2001/XMLSchema" xmlns:xs="http://www.w3.org/2001/XMLSchema" xmlns:p="http://schemas.microsoft.com/office/2006/metadata/properties" xmlns:ns1="http://schemas.microsoft.com/sharepoint/v3" xmlns:ns2="6afedc07-2ff7-4772-883c-b65fafeedc39" xmlns:ns3="9e8932a4-846b-4f82-81ad-ad66315c0e4d" targetNamespace="http://schemas.microsoft.com/office/2006/metadata/properties" ma:root="true" ma:fieldsID="e804436e38ac1c13e4ddfbcb56e84900" ns1:_="" ns2:_="" ns3:_="">
    <xsd:import namespace="http://schemas.microsoft.com/sharepoint/v3"/>
    <xsd:import namespace="6afedc07-2ff7-4772-883c-b65fafeedc39"/>
    <xsd:import namespace="9e8932a4-846b-4f82-81ad-ad66315c0e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fedc07-2ff7-4772-883c-b65fafeedc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8932a4-846b-4f82-81ad-ad66315c0e4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567d2ed-5bde-4cf0-9d89-d704f0d5ef89}" ma:internalName="TaxCatchAll" ma:showField="CatchAllData" ma:web="9e8932a4-846b-4f82-81ad-ad66315c0e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fedc07-2ff7-4772-883c-b65fafeedc39">
      <Terms xmlns="http://schemas.microsoft.com/office/infopath/2007/PartnerControls"/>
    </lcf76f155ced4ddcb4097134ff3c332f>
    <_ip_UnifiedCompliancePolicyUIAction xmlns="http://schemas.microsoft.com/sharepoint/v3" xsi:nil="true"/>
    <TaxCatchAll xmlns="9e8932a4-846b-4f82-81ad-ad66315c0e4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4046546-FF23-4E13-A291-0B6484342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fedc07-2ff7-4772-883c-b65fafeedc39"/>
    <ds:schemaRef ds:uri="9e8932a4-846b-4f82-81ad-ad66315c0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C628DE-F157-4632-9AAC-E6777DF67285}">
  <ds:schemaRefs>
    <ds:schemaRef ds:uri="http://schemas.microsoft.com/sharepoint/v3/contenttype/forms"/>
  </ds:schemaRefs>
</ds:datastoreItem>
</file>

<file path=customXml/itemProps3.xml><?xml version="1.0" encoding="utf-8"?>
<ds:datastoreItem xmlns:ds="http://schemas.openxmlformats.org/officeDocument/2006/customXml" ds:itemID="{BE3BE09F-96F1-4C72-91DB-6C458932BC44}">
  <ds:schemaRefs>
    <ds:schemaRef ds:uri="http://schemas.microsoft.com/office/2006/metadata/properties"/>
    <ds:schemaRef ds:uri="http://schemas.microsoft.com/office/infopath/2007/PartnerControls"/>
    <ds:schemaRef ds:uri="6afedc07-2ff7-4772-883c-b65fafeedc39"/>
    <ds:schemaRef ds:uri="http://schemas.microsoft.com/sharepoint/v3"/>
    <ds:schemaRef ds:uri="9e8932a4-846b-4f82-81ad-ad66315c0e4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1656</Words>
  <Characters>9445</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Sussex Partnership NHS Foundation Trust</Company>
  <LinksUpToDate>false</LinksUpToDate>
  <CharactersWithSpaces>11079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 Pippa (SUSSEX PARTNERSHIP NHS FOUNDATION TRUST)</dc:creator>
  <cp:keywords/>
  <dc:description/>
  <cp:lastModifiedBy>Olivia Cottington</cp:lastModifiedBy>
  <cp:revision>2</cp:revision>
  <dcterms:created xsi:type="dcterms:W3CDTF">2026-10-13T16:40:00Z</dcterms:created>
  <dcterms:modified xsi:type="dcterms:W3CDTF">2026-10-13T16:40:00Z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0x0101003674CA1B846915439C214A7C057C6A68</vt:lpwstr>
  </property>
  <property fmtid="{D5CDD505-2E9C-101B-9397-08002B2CF9AE}" pid="3" name="MediaServiceImageTags">
    <vt:lpwstr/>
  </property>
  <property fmtid="{D5CDD505-2E9C-101B-9397-08002B2CF9AE}" pid="4" name="docLang">
    <vt:lpwstr>en</vt:lpwstr>
  </property>
</Properties>
</file>