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D065" w14:textId="77777777" w:rsidR="00F97548" w:rsidRPr="00F97548" w:rsidRDefault="00933EB5" w:rsidP="005855A6">
      <w:pPr>
        <w:spacing w:before="91"/>
        <w:jc w:val="right"/>
        <w:rPr>
          <w:b/>
          <w:sz w:val="28"/>
        </w:rPr>
      </w:pPr>
      <w:r>
        <w:rPr>
          <w:noProof/>
          <w:lang w:bidi="ar-SA"/>
        </w:rPr>
        <w:drawing>
          <wp:inline distT="0" distB="0" distL="0" distR="0" wp14:anchorId="118904D5" wp14:editId="1E863A58">
            <wp:extent cx="1387318" cy="276225"/>
            <wp:effectExtent l="0" t="0" r="3810" b="0"/>
            <wp:docPr id="4" name="Picture 4" descr="Brighton and Sussex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ighton and Sussex Medical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884" cy="292864"/>
                    </a:xfrm>
                    <a:prstGeom prst="rect">
                      <a:avLst/>
                    </a:prstGeom>
                    <a:noFill/>
                  </pic:spPr>
                </pic:pic>
              </a:graphicData>
            </a:graphic>
          </wp:inline>
        </w:drawing>
      </w:r>
    </w:p>
    <w:p w14:paraId="6C99AAB9" w14:textId="77777777" w:rsidR="005855A6" w:rsidRPr="005855A6" w:rsidRDefault="005855A6" w:rsidP="005855A6">
      <w:pPr>
        <w:spacing w:before="91"/>
        <w:jc w:val="center"/>
        <w:rPr>
          <w:b/>
          <w:bCs/>
          <w:sz w:val="24"/>
          <w:szCs w:val="24"/>
        </w:rPr>
      </w:pPr>
      <w:r w:rsidRPr="005855A6">
        <w:rPr>
          <w:b/>
          <w:bCs/>
          <w:sz w:val="24"/>
          <w:szCs w:val="24"/>
        </w:rPr>
        <w:t>Ethics Review Decision Making Tool</w:t>
      </w:r>
    </w:p>
    <w:p w14:paraId="5E377B1C" w14:textId="77777777" w:rsidR="00F97548" w:rsidRDefault="00F97548" w:rsidP="00F97548">
      <w:pPr>
        <w:spacing w:before="91"/>
        <w:rPr>
          <w:b/>
          <w:sz w:val="24"/>
          <w:szCs w:val="24"/>
        </w:rPr>
      </w:pPr>
    </w:p>
    <w:p w14:paraId="117ABD69" w14:textId="77777777" w:rsidR="004D4014" w:rsidRDefault="00955983" w:rsidP="00962F97">
      <w:pPr>
        <w:spacing w:before="91"/>
        <w:jc w:val="both"/>
        <w:rPr>
          <w:b/>
          <w:sz w:val="24"/>
          <w:szCs w:val="24"/>
        </w:rPr>
      </w:pPr>
      <w:r w:rsidRPr="00F97548">
        <w:rPr>
          <w:b/>
          <w:sz w:val="24"/>
          <w:szCs w:val="24"/>
        </w:rPr>
        <w:t>Criteria for Research that must go to the BSMS Research Governance and Ethics Committee</w:t>
      </w:r>
      <w:r w:rsidR="00FC6755">
        <w:rPr>
          <w:b/>
          <w:sz w:val="24"/>
          <w:szCs w:val="24"/>
        </w:rPr>
        <w:t xml:space="preserve">, a </w:t>
      </w:r>
      <w:r w:rsidR="00621BA6">
        <w:rPr>
          <w:b/>
          <w:sz w:val="24"/>
          <w:szCs w:val="24"/>
        </w:rPr>
        <w:t xml:space="preserve">BSMS </w:t>
      </w:r>
      <w:r w:rsidR="00FC6755">
        <w:rPr>
          <w:b/>
          <w:sz w:val="24"/>
          <w:szCs w:val="24"/>
        </w:rPr>
        <w:t>School Research Ethics Officer,</w:t>
      </w:r>
      <w:r w:rsidRPr="00F97548">
        <w:rPr>
          <w:b/>
          <w:sz w:val="24"/>
          <w:szCs w:val="24"/>
        </w:rPr>
        <w:t xml:space="preserve"> or </w:t>
      </w:r>
      <w:r w:rsidR="007A0B76">
        <w:rPr>
          <w:b/>
          <w:sz w:val="24"/>
          <w:szCs w:val="24"/>
        </w:rPr>
        <w:t>the Health Research Authority (HRA)</w:t>
      </w:r>
      <w:r w:rsidR="00F97548">
        <w:rPr>
          <w:b/>
          <w:sz w:val="24"/>
          <w:szCs w:val="24"/>
        </w:rPr>
        <w:t xml:space="preserve"> </w:t>
      </w:r>
    </w:p>
    <w:p w14:paraId="2CC12FA0" w14:textId="77777777" w:rsidR="00FF7ED6" w:rsidRDefault="00FF7ED6" w:rsidP="00962F97">
      <w:pPr>
        <w:spacing w:before="91"/>
        <w:jc w:val="both"/>
        <w:rPr>
          <w:b/>
          <w:sz w:val="24"/>
          <w:szCs w:val="24"/>
        </w:rPr>
      </w:pPr>
    </w:p>
    <w:p w14:paraId="0A4CD5BC" w14:textId="77777777" w:rsidR="00955983" w:rsidRPr="004D4014" w:rsidRDefault="00ED0796" w:rsidP="00962F97">
      <w:pPr>
        <w:spacing w:before="91"/>
        <w:jc w:val="both"/>
        <w:rPr>
          <w:b/>
          <w:sz w:val="24"/>
          <w:szCs w:val="24"/>
        </w:rPr>
      </w:pPr>
      <w:proofErr w:type="spellStart"/>
      <w:proofErr w:type="gramStart"/>
      <w:r w:rsidRPr="004D4014">
        <w:rPr>
          <w:b/>
          <w:sz w:val="24"/>
          <w:szCs w:val="24"/>
        </w:rPr>
        <w:t>No.s</w:t>
      </w:r>
      <w:proofErr w:type="spellEnd"/>
      <w:proofErr w:type="gramEnd"/>
      <w:r w:rsidRPr="004D4014">
        <w:rPr>
          <w:b/>
          <w:sz w:val="24"/>
          <w:szCs w:val="24"/>
        </w:rPr>
        <w:t xml:space="preserve"> 1</w:t>
      </w:r>
      <w:r w:rsidR="006841C0" w:rsidRPr="004D4014">
        <w:rPr>
          <w:b/>
          <w:sz w:val="24"/>
          <w:szCs w:val="24"/>
        </w:rPr>
        <w:t>-8</w:t>
      </w:r>
      <w:r w:rsidR="004D4014">
        <w:rPr>
          <w:b/>
          <w:sz w:val="24"/>
          <w:szCs w:val="24"/>
        </w:rPr>
        <w:t>:</w:t>
      </w:r>
      <w:r w:rsidR="006841C0" w:rsidRPr="004D4014">
        <w:rPr>
          <w:b/>
          <w:sz w:val="24"/>
          <w:szCs w:val="24"/>
        </w:rPr>
        <w:t xml:space="preserve"> </w:t>
      </w:r>
      <w:r w:rsidR="004D4014">
        <w:rPr>
          <w:b/>
        </w:rPr>
        <w:t>R</w:t>
      </w:r>
      <w:r w:rsidR="00955983" w:rsidRPr="004D4014">
        <w:rPr>
          <w:b/>
        </w:rPr>
        <w:t>esearch activity that requires review by the BSMS Research Governance and Ethics Committee (RGEC).</w:t>
      </w:r>
    </w:p>
    <w:p w14:paraId="40B04126" w14:textId="77777777" w:rsidR="00955983" w:rsidRDefault="00955983" w:rsidP="00955983">
      <w:pPr>
        <w:pStyle w:val="BodyText"/>
        <w:spacing w:before="6"/>
        <w:rPr>
          <w:sz w:val="10"/>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955983" w14:paraId="1923A7CA" w14:textId="77777777" w:rsidTr="00A2731D">
        <w:trPr>
          <w:trHeight w:val="494"/>
        </w:trPr>
        <w:tc>
          <w:tcPr>
            <w:tcW w:w="15401" w:type="dxa"/>
            <w:gridSpan w:val="2"/>
            <w:shd w:val="clear" w:color="auto" w:fill="F2F2F2" w:themeFill="background1" w:themeFillShade="F2"/>
          </w:tcPr>
          <w:p w14:paraId="44C01CF4" w14:textId="77777777" w:rsidR="00955983" w:rsidRDefault="00E9734C" w:rsidP="00E9734C">
            <w:pPr>
              <w:pStyle w:val="TableParagraph"/>
              <w:spacing w:before="117"/>
              <w:ind w:left="136"/>
              <w:rPr>
                <w:b/>
                <w:i/>
              </w:rPr>
            </w:pPr>
            <w:r w:rsidRPr="006B7F9A">
              <w:rPr>
                <w:b/>
                <w:i/>
                <w:color w:val="1F4E79" w:themeColor="accent1" w:themeShade="80"/>
              </w:rPr>
              <w:t xml:space="preserve">Non-clinical </w:t>
            </w:r>
            <w:r w:rsidR="003657C8" w:rsidRPr="006B7F9A">
              <w:rPr>
                <w:b/>
                <w:i/>
                <w:color w:val="1F4E79" w:themeColor="accent1" w:themeShade="80"/>
              </w:rPr>
              <w:t xml:space="preserve">(non-NHS) </w:t>
            </w:r>
            <w:r w:rsidRPr="006B7F9A">
              <w:rPr>
                <w:b/>
                <w:i/>
                <w:color w:val="1F4E79" w:themeColor="accent1" w:themeShade="80"/>
              </w:rPr>
              <w:t>p</w:t>
            </w:r>
            <w:r w:rsidR="00955983" w:rsidRPr="006B7F9A">
              <w:rPr>
                <w:b/>
                <w:i/>
                <w:color w:val="1F4E79" w:themeColor="accent1" w:themeShade="80"/>
              </w:rPr>
              <w:t>rojects that involve any of these criteria must be reviewed by the BSMS Research Governance and Ethics Committee</w:t>
            </w:r>
            <w:r w:rsidR="00C674AE" w:rsidRPr="006B7F9A">
              <w:rPr>
                <w:b/>
                <w:i/>
                <w:color w:val="1F4E79" w:themeColor="accent1" w:themeShade="80"/>
              </w:rPr>
              <w:t xml:space="preserve"> (RGEC)</w:t>
            </w:r>
            <w:r w:rsidR="008B1BDB">
              <w:rPr>
                <w:b/>
                <w:i/>
                <w:color w:val="1F4E79" w:themeColor="accent1" w:themeShade="80"/>
              </w:rPr>
              <w:t xml:space="preserve"> or </w:t>
            </w:r>
            <w:r w:rsidR="008B1BDB" w:rsidRPr="008B1BDB">
              <w:rPr>
                <w:b/>
                <w:i/>
                <w:color w:val="1F4E79" w:themeColor="accent1" w:themeShade="80"/>
              </w:rPr>
              <w:t>BSMS School Research Ethics Officer</w:t>
            </w:r>
            <w:r w:rsidR="008B1BDB">
              <w:rPr>
                <w:b/>
                <w:i/>
                <w:color w:val="1F4E79" w:themeColor="accent1" w:themeShade="80"/>
              </w:rPr>
              <w:t xml:space="preserve"> (SREO)</w:t>
            </w:r>
            <w:r w:rsidR="00C674AE" w:rsidRPr="006B7F9A">
              <w:rPr>
                <w:b/>
                <w:i/>
                <w:color w:val="1F4E79" w:themeColor="accent1" w:themeShade="80"/>
              </w:rPr>
              <w:t>:</w:t>
            </w:r>
          </w:p>
        </w:tc>
      </w:tr>
      <w:tr w:rsidR="00955983" w14:paraId="4C310DF0" w14:textId="77777777" w:rsidTr="00F97548">
        <w:trPr>
          <w:trHeight w:val="371"/>
        </w:trPr>
        <w:tc>
          <w:tcPr>
            <w:tcW w:w="562" w:type="dxa"/>
          </w:tcPr>
          <w:p w14:paraId="07E8C07C" w14:textId="77777777" w:rsidR="00955983" w:rsidRDefault="00955983" w:rsidP="00A15750">
            <w:pPr>
              <w:pStyle w:val="TableParagraph"/>
              <w:spacing w:before="38"/>
              <w:ind w:left="141"/>
            </w:pPr>
            <w:r>
              <w:t>1.</w:t>
            </w:r>
          </w:p>
        </w:tc>
        <w:tc>
          <w:tcPr>
            <w:tcW w:w="14839" w:type="dxa"/>
          </w:tcPr>
          <w:p w14:paraId="072D0F32" w14:textId="77777777" w:rsidR="00FB62D7" w:rsidRDefault="00AA0F15" w:rsidP="009005BF">
            <w:pPr>
              <w:pStyle w:val="TableParagraph"/>
              <w:jc w:val="both"/>
            </w:pPr>
            <w:r>
              <w:t>R</w:t>
            </w:r>
            <w:r w:rsidR="00955983">
              <w:t xml:space="preserve">esearch led by </w:t>
            </w:r>
            <w:r w:rsidR="00962F97">
              <w:t>BSMS staff/</w:t>
            </w:r>
            <w:r w:rsidR="00955983">
              <w:t xml:space="preserve">students </w:t>
            </w:r>
            <w:r w:rsidR="00962F97">
              <w:t>involving</w:t>
            </w:r>
            <w:r w:rsidR="00955983">
              <w:t xml:space="preserve"> human </w:t>
            </w:r>
            <w:r w:rsidR="00331945" w:rsidRPr="00331945">
              <w:t>participation, biomaterial, or personal data</w:t>
            </w:r>
            <w:r w:rsidR="00300453">
              <w:t>,</w:t>
            </w:r>
            <w:r w:rsidR="00331945" w:rsidRPr="00331945">
              <w:t xml:space="preserve"> </w:t>
            </w:r>
            <w:r w:rsidR="00955983">
              <w:t>either</w:t>
            </w:r>
            <w:r w:rsidR="00FB62D7">
              <w:t>:</w:t>
            </w:r>
            <w:r w:rsidR="00955983">
              <w:t xml:space="preserve"> </w:t>
            </w:r>
          </w:p>
          <w:p w14:paraId="66ACA2D7" w14:textId="77777777" w:rsidR="008E2B6A" w:rsidRDefault="008E2B6A" w:rsidP="009005BF">
            <w:pPr>
              <w:pStyle w:val="TableParagraph"/>
              <w:numPr>
                <w:ilvl w:val="0"/>
                <w:numId w:val="1"/>
              </w:numPr>
              <w:jc w:val="both"/>
            </w:pPr>
            <w:r>
              <w:t xml:space="preserve">Directly: </w:t>
            </w:r>
            <w:r w:rsidR="006364AF">
              <w:t>e</w:t>
            </w:r>
            <w:r>
              <w:t>.g., questionnaires</w:t>
            </w:r>
            <w:r w:rsidR="00C91188">
              <w:t>,</w:t>
            </w:r>
            <w:r w:rsidR="00A75729">
              <w:t xml:space="preserve"> survey</w:t>
            </w:r>
            <w:r w:rsidR="003B15A0">
              <w:t>s</w:t>
            </w:r>
            <w:r>
              <w:t xml:space="preserve">, </w:t>
            </w:r>
            <w:r w:rsidR="00A75729" w:rsidRPr="00A75729">
              <w:t xml:space="preserve">interviews, </w:t>
            </w:r>
            <w:r>
              <w:t xml:space="preserve">focus groups. </w:t>
            </w:r>
          </w:p>
          <w:p w14:paraId="07EFFC5C" w14:textId="77777777" w:rsidR="00ED2D03" w:rsidRDefault="008E2B6A" w:rsidP="00ED2D03">
            <w:pPr>
              <w:pStyle w:val="TableParagraph"/>
              <w:numPr>
                <w:ilvl w:val="0"/>
                <w:numId w:val="1"/>
              </w:numPr>
              <w:jc w:val="both"/>
            </w:pPr>
            <w:r>
              <w:t xml:space="preserve">Indirectly: Studies involving the generation of new data or samples from human participants </w:t>
            </w:r>
            <w:r w:rsidR="006364AF">
              <w:t>who</w:t>
            </w:r>
            <w:r>
              <w:t xml:space="preserve"> are not NHS patients (</w:t>
            </w:r>
            <w:r w:rsidR="00ED2D03">
              <w:t>e</w:t>
            </w:r>
            <w:r>
              <w:t>.g. through access to their data or donation of biological samples).</w:t>
            </w:r>
            <w:r w:rsidR="00571E0A">
              <w:t xml:space="preserve"> </w:t>
            </w:r>
          </w:p>
          <w:p w14:paraId="1CB0F844" w14:textId="77777777" w:rsidR="00FB62D7" w:rsidRDefault="00571E0A" w:rsidP="00ED2D03">
            <w:pPr>
              <w:pStyle w:val="TableParagraph"/>
              <w:numPr>
                <w:ilvl w:val="0"/>
                <w:numId w:val="1"/>
              </w:numPr>
              <w:jc w:val="both"/>
            </w:pPr>
            <w:r>
              <w:t>O</w:t>
            </w:r>
            <w:r w:rsidRPr="00571E0A">
              <w:t>bservational studies</w:t>
            </w:r>
            <w:r>
              <w:t xml:space="preserve"> involving methods of observation</w:t>
            </w:r>
            <w:r w:rsidR="00CC14E2" w:rsidRPr="00CC14E2">
              <w:t xml:space="preserve"> </w:t>
            </w:r>
            <w:r w:rsidR="00CC14E2">
              <w:t xml:space="preserve">of </w:t>
            </w:r>
            <w:r w:rsidR="00CC14E2" w:rsidRPr="00CC14E2">
              <w:t>human</w:t>
            </w:r>
            <w:r w:rsidR="00CC14E2">
              <w:t xml:space="preserve">s (either </w:t>
            </w:r>
            <w:r w:rsidR="003F35F6">
              <w:t>openly</w:t>
            </w:r>
            <w:r w:rsidR="00CC14E2">
              <w:t xml:space="preserve"> o</w:t>
            </w:r>
            <w:r w:rsidR="003F35F6">
              <w:t xml:space="preserve">r </w:t>
            </w:r>
            <w:r w:rsidR="00CC14E2" w:rsidRPr="00CC14E2">
              <w:t>covert</w:t>
            </w:r>
            <w:r w:rsidR="00CC14E2">
              <w:t>ly)</w:t>
            </w:r>
            <w:r>
              <w:t>.</w:t>
            </w:r>
          </w:p>
        </w:tc>
      </w:tr>
      <w:tr w:rsidR="00E0198D" w14:paraId="27B6588E" w14:textId="77777777" w:rsidTr="00F97548">
        <w:trPr>
          <w:trHeight w:val="371"/>
        </w:trPr>
        <w:tc>
          <w:tcPr>
            <w:tcW w:w="562" w:type="dxa"/>
          </w:tcPr>
          <w:p w14:paraId="10F083BC" w14:textId="77777777" w:rsidR="00E0198D" w:rsidRDefault="00361AA6" w:rsidP="00A15750">
            <w:pPr>
              <w:pStyle w:val="TableParagraph"/>
              <w:spacing w:before="38"/>
              <w:ind w:left="141"/>
            </w:pPr>
            <w:r>
              <w:t>2.</w:t>
            </w:r>
          </w:p>
        </w:tc>
        <w:tc>
          <w:tcPr>
            <w:tcW w:w="14839" w:type="dxa"/>
          </w:tcPr>
          <w:p w14:paraId="75FA8B13" w14:textId="77777777" w:rsidR="00E0198D" w:rsidRDefault="00E0198D" w:rsidP="00ED0796">
            <w:pPr>
              <w:pStyle w:val="TableParagraph"/>
              <w:jc w:val="both"/>
            </w:pPr>
            <w:r>
              <w:t xml:space="preserve">Research </w:t>
            </w:r>
            <w:r w:rsidR="00361AA6">
              <w:t xml:space="preserve">recruiting patient </w:t>
            </w:r>
            <w:r w:rsidR="00BA7E20">
              <w:t>populations</w:t>
            </w:r>
            <w:r w:rsidR="00361AA6">
              <w:t xml:space="preserve"> </w:t>
            </w:r>
            <w:r w:rsidR="006820D0" w:rsidRPr="006820D0">
              <w:t xml:space="preserve">exclusively </w:t>
            </w:r>
            <w:r w:rsidR="00AD0CBB">
              <w:t>via</w:t>
            </w:r>
            <w:r w:rsidR="0079468E">
              <w:t xml:space="preserve"> </w:t>
            </w:r>
            <w:r w:rsidR="00BA7E20">
              <w:t xml:space="preserve">non-NHS </w:t>
            </w:r>
            <w:r w:rsidR="004D3BE0">
              <w:t xml:space="preserve">recruitment </w:t>
            </w:r>
            <w:r w:rsidR="00BA7E20">
              <w:t>channels</w:t>
            </w:r>
            <w:r w:rsidR="00AD0CBB" w:rsidRPr="00AD0CBB">
              <w:t xml:space="preserve"> </w:t>
            </w:r>
            <w:r w:rsidR="00AD0CBB">
              <w:t xml:space="preserve">in </w:t>
            </w:r>
            <w:r w:rsidR="00AD0CBB" w:rsidRPr="00AD0CBB">
              <w:t>the community</w:t>
            </w:r>
            <w:r w:rsidR="00320644">
              <w:t>:</w:t>
            </w:r>
            <w:r w:rsidR="00BA7E20">
              <w:t xml:space="preserve"> </w:t>
            </w:r>
            <w:r w:rsidR="00ED0796">
              <w:t>e</w:t>
            </w:r>
            <w:r w:rsidR="00BA7E20">
              <w:t>.g. public</w:t>
            </w:r>
            <w:r w:rsidR="00540C5C">
              <w:t>ly available</w:t>
            </w:r>
            <w:r w:rsidR="00BA7E20">
              <w:t xml:space="preserve"> </w:t>
            </w:r>
            <w:r w:rsidR="00540C5C" w:rsidRPr="00540C5C">
              <w:t xml:space="preserve">online </w:t>
            </w:r>
            <w:r w:rsidR="00BA7E20">
              <w:t xml:space="preserve">forums, Facebook groups, </w:t>
            </w:r>
            <w:r w:rsidR="00540C5C">
              <w:t xml:space="preserve">third sector </w:t>
            </w:r>
            <w:r w:rsidR="004C78CE">
              <w:t>v</w:t>
            </w:r>
            <w:r w:rsidR="004C78CE" w:rsidRPr="004C78CE">
              <w:t>oluntary and community organisations</w:t>
            </w:r>
            <w:r w:rsidR="004C78CE">
              <w:t xml:space="preserve"> and</w:t>
            </w:r>
            <w:r w:rsidR="00540C5C">
              <w:t xml:space="preserve"> charities. </w:t>
            </w:r>
            <w:r w:rsidR="00361AA6">
              <w:t xml:space="preserve"> </w:t>
            </w:r>
          </w:p>
        </w:tc>
      </w:tr>
      <w:tr w:rsidR="00955983" w14:paraId="75E3573B" w14:textId="77777777" w:rsidTr="00F97548">
        <w:trPr>
          <w:trHeight w:val="626"/>
        </w:trPr>
        <w:tc>
          <w:tcPr>
            <w:tcW w:w="562" w:type="dxa"/>
          </w:tcPr>
          <w:p w14:paraId="197014C8" w14:textId="77777777" w:rsidR="00955983" w:rsidRDefault="00361AA6" w:rsidP="00A15750">
            <w:pPr>
              <w:pStyle w:val="TableParagraph"/>
              <w:spacing w:before="165"/>
              <w:ind w:left="141"/>
            </w:pPr>
            <w:r>
              <w:t>3</w:t>
            </w:r>
            <w:r w:rsidR="00955983">
              <w:t>.</w:t>
            </w:r>
          </w:p>
        </w:tc>
        <w:tc>
          <w:tcPr>
            <w:tcW w:w="14839" w:type="dxa"/>
          </w:tcPr>
          <w:p w14:paraId="7BDA0449" w14:textId="77777777" w:rsidR="00955983" w:rsidRDefault="009B7E5B" w:rsidP="00800D11">
            <w:pPr>
              <w:pStyle w:val="TableParagraph"/>
              <w:spacing w:line="242" w:lineRule="auto"/>
              <w:jc w:val="both"/>
            </w:pPr>
            <w:r>
              <w:t>R</w:t>
            </w:r>
            <w:r w:rsidR="00DE35CC">
              <w:t>esearch</w:t>
            </w:r>
            <w:r>
              <w:t xml:space="preserve"> conducted </w:t>
            </w:r>
            <w:r w:rsidR="00800D11">
              <w:t>outside the UK</w:t>
            </w:r>
            <w:r w:rsidR="00DE35CC">
              <w:t xml:space="preserve">: </w:t>
            </w:r>
            <w:r w:rsidR="006D382B" w:rsidRPr="006D382B">
              <w:t xml:space="preserve">BSMS-led research projects conducted </w:t>
            </w:r>
            <w:r w:rsidR="00741AC5">
              <w:t xml:space="preserve">by </w:t>
            </w:r>
            <w:r w:rsidR="00741AC5" w:rsidRPr="00741AC5">
              <w:t>BSMS staff and</w:t>
            </w:r>
            <w:r w:rsidR="00741AC5">
              <w:t>/or</w:t>
            </w:r>
            <w:r w:rsidR="00741AC5" w:rsidRPr="00741AC5">
              <w:t xml:space="preserve"> </w:t>
            </w:r>
            <w:r w:rsidR="008022F4">
              <w:t xml:space="preserve">Postgraduate </w:t>
            </w:r>
            <w:r w:rsidR="00B26835">
              <w:t xml:space="preserve">Research and </w:t>
            </w:r>
            <w:r w:rsidR="008022F4">
              <w:t>T</w:t>
            </w:r>
            <w:r w:rsidR="00E83795">
              <w:t>aught</w:t>
            </w:r>
            <w:r w:rsidR="00741AC5" w:rsidRPr="00741AC5">
              <w:t xml:space="preserve"> students </w:t>
            </w:r>
            <w:r w:rsidR="00741AC5">
              <w:t xml:space="preserve">undertaken </w:t>
            </w:r>
            <w:r w:rsidR="006D382B" w:rsidRPr="006D382B">
              <w:t>outside the UK.</w:t>
            </w:r>
            <w:r w:rsidR="00A37562">
              <w:t xml:space="preserve"> </w:t>
            </w:r>
            <w:r w:rsidR="00A37562" w:rsidRPr="00A37562">
              <w:t xml:space="preserve">Affiliated academics, such as external collaborators undertaking or involved with funded research in connection with, or as part of, the University of Sussex also fall under the scope of BSMS </w:t>
            </w:r>
            <w:r w:rsidR="00EA3290">
              <w:t>RGEC</w:t>
            </w:r>
            <w:r w:rsidR="00A37562">
              <w:t xml:space="preserve"> review</w:t>
            </w:r>
            <w:r w:rsidR="00A37562" w:rsidRPr="00A37562">
              <w:t>.</w:t>
            </w:r>
          </w:p>
        </w:tc>
      </w:tr>
      <w:tr w:rsidR="00DD0FF5" w14:paraId="176AA07B" w14:textId="77777777" w:rsidTr="00F97548">
        <w:trPr>
          <w:trHeight w:val="626"/>
        </w:trPr>
        <w:tc>
          <w:tcPr>
            <w:tcW w:w="562" w:type="dxa"/>
          </w:tcPr>
          <w:p w14:paraId="2D96763C" w14:textId="77777777" w:rsidR="00DD0FF5" w:rsidRDefault="00DD0FF5" w:rsidP="00DD0FF5">
            <w:pPr>
              <w:pStyle w:val="TableParagraph"/>
              <w:spacing w:before="40"/>
              <w:ind w:left="141"/>
            </w:pPr>
            <w:r>
              <w:t>4.</w:t>
            </w:r>
          </w:p>
        </w:tc>
        <w:tc>
          <w:tcPr>
            <w:tcW w:w="14839" w:type="dxa"/>
          </w:tcPr>
          <w:p w14:paraId="0042A2C2" w14:textId="77777777" w:rsidR="00DD0FF5" w:rsidRDefault="00512118" w:rsidP="0034294C">
            <w:pPr>
              <w:pStyle w:val="TableParagraph"/>
              <w:spacing w:line="242" w:lineRule="auto"/>
              <w:jc w:val="both"/>
            </w:pPr>
            <w:r>
              <w:t>S</w:t>
            </w:r>
            <w:r w:rsidR="00DD0FF5">
              <w:t>ocial care research</w:t>
            </w:r>
            <w:r>
              <w:t xml:space="preserve"> that excludes NHS staff and/or patients</w:t>
            </w:r>
            <w:r w:rsidR="00B05337">
              <w:t xml:space="preserve"> </w:t>
            </w:r>
            <w:r w:rsidR="00B05337" w:rsidRPr="00B05337">
              <w:t xml:space="preserve">that </w:t>
            </w:r>
            <w:r w:rsidR="00B05337">
              <w:t>is</w:t>
            </w:r>
            <w:r w:rsidR="00B05337" w:rsidRPr="00B05337">
              <w:t xml:space="preserve"> not funded through the Department of Health or National Institute of Health Research (NIHR)</w:t>
            </w:r>
            <w:r w:rsidR="00DD0FF5">
              <w:t xml:space="preserve">: research that </w:t>
            </w:r>
            <w:r w:rsidR="007E0F72">
              <w:t xml:space="preserve">solely </w:t>
            </w:r>
            <w:r w:rsidR="00DD0FF5">
              <w:t xml:space="preserve">involves staff working in </w:t>
            </w:r>
            <w:r w:rsidR="00DD0FF5" w:rsidRPr="00DD0FF5">
              <w:t>social care</w:t>
            </w:r>
            <w:r w:rsidR="00DD0FF5">
              <w:t xml:space="preserve"> settings (such as nursing homes)</w:t>
            </w:r>
            <w:r w:rsidR="00E9717B">
              <w:t xml:space="preserve">, </w:t>
            </w:r>
            <w:r w:rsidR="00E83AE0">
              <w:t xml:space="preserve">or </w:t>
            </w:r>
            <w:r w:rsidR="00E83AE0" w:rsidRPr="00E83AE0">
              <w:t xml:space="preserve">families and carers </w:t>
            </w:r>
            <w:r w:rsidR="00E83AE0">
              <w:t xml:space="preserve">of individuals </w:t>
            </w:r>
            <w:r w:rsidR="00E83AE0" w:rsidRPr="00E83AE0">
              <w:t>under the ca</w:t>
            </w:r>
            <w:r w:rsidR="00711B6E">
              <w:t>re of social care professionals.</w:t>
            </w:r>
            <w:r w:rsidR="00E83AE0" w:rsidRPr="00E83AE0">
              <w:t xml:space="preserve"> </w:t>
            </w:r>
            <w:r w:rsidR="00FB6477">
              <w:t>(</w:t>
            </w:r>
            <w:r w:rsidR="002466DE">
              <w:t>E</w:t>
            </w:r>
            <w:r w:rsidR="002466DE" w:rsidRPr="002466DE">
              <w:t xml:space="preserve">xcludes </w:t>
            </w:r>
            <w:r w:rsidR="00711B6E">
              <w:t xml:space="preserve">review of </w:t>
            </w:r>
            <w:r w:rsidR="00870A44" w:rsidRPr="00870A44">
              <w:t xml:space="preserve">integrated services </w:t>
            </w:r>
            <w:r w:rsidR="00870A44">
              <w:t xml:space="preserve">research </w:t>
            </w:r>
            <w:r w:rsidR="00870A44" w:rsidRPr="00870A44">
              <w:t xml:space="preserve">(NHS health and social care) </w:t>
            </w:r>
            <w:r w:rsidR="00870A44">
              <w:t xml:space="preserve">primarily </w:t>
            </w:r>
            <w:r w:rsidR="00870A44" w:rsidRPr="00870A44">
              <w:t xml:space="preserve">involving NHS </w:t>
            </w:r>
            <w:r w:rsidR="00870A44">
              <w:t>patients and/or NHS staff</w:t>
            </w:r>
            <w:r w:rsidR="0034294C">
              <w:t>;</w:t>
            </w:r>
            <w:r w:rsidR="002466DE" w:rsidRPr="002466DE">
              <w:t xml:space="preserve"> </w:t>
            </w:r>
            <w:r w:rsidR="00870A44">
              <w:t>research involving anyone lacking capacity to consent</w:t>
            </w:r>
            <w:r w:rsidR="0034294C">
              <w:t>;</w:t>
            </w:r>
            <w:r w:rsidR="00870A44">
              <w:t xml:space="preserve"> and social care research that is </w:t>
            </w:r>
            <w:r w:rsidR="00870A44" w:rsidRPr="00870A44">
              <w:t>funded through the Department of Health or National Institute of Health Research (NIHR</w:t>
            </w:r>
            <w:r w:rsidR="0034294C">
              <w:t xml:space="preserve"> See: </w:t>
            </w:r>
            <w:r w:rsidR="0034294C" w:rsidRPr="00214D4F">
              <w:rPr>
                <w:rFonts w:eastAsiaTheme="minorHAnsi"/>
                <w:lang w:eastAsia="en-US" w:bidi="ar-SA"/>
              </w:rPr>
              <w:t xml:space="preserve">See:  </w:t>
            </w:r>
            <w:hyperlink r:id="rId6" w:history="1">
              <w:r w:rsidR="0034294C" w:rsidRPr="00214D4F">
                <w:rPr>
                  <w:rFonts w:eastAsiaTheme="minorHAnsi"/>
                  <w:color w:val="0563C1" w:themeColor="hyperlink"/>
                  <w:u w:val="single"/>
                  <w:lang w:eastAsia="en-US" w:bidi="ar-SA"/>
                </w:rPr>
                <w:t xml:space="preserve">HRA Resource Pack for Social Care </w:t>
              </w:r>
            </w:hyperlink>
            <w:r w:rsidR="0034294C" w:rsidRPr="00214D4F">
              <w:rPr>
                <w:rFonts w:eastAsiaTheme="minorHAnsi"/>
                <w:lang w:eastAsia="en-US" w:bidi="ar-SA"/>
              </w:rPr>
              <w:t xml:space="preserve"> </w:t>
            </w:r>
            <w:r w:rsidR="0034294C">
              <w:rPr>
                <w:rFonts w:eastAsiaTheme="minorHAnsi"/>
                <w:lang w:eastAsia="en-US" w:bidi="ar-SA"/>
              </w:rPr>
              <w:t>(p110 ‘</w:t>
            </w:r>
            <w:r w:rsidR="0034294C" w:rsidRPr="00214D4F">
              <w:rPr>
                <w:rFonts w:eastAsiaTheme="minorHAnsi"/>
                <w:lang w:eastAsia="en-US" w:bidi="ar-SA"/>
              </w:rPr>
              <w:t>Research Ethics Decisio</w:t>
            </w:r>
            <w:r w:rsidR="0034294C">
              <w:rPr>
                <w:rFonts w:eastAsiaTheme="minorHAnsi"/>
                <w:lang w:eastAsia="en-US" w:bidi="ar-SA"/>
              </w:rPr>
              <w:t>n Tree for Social Care Research’</w:t>
            </w:r>
            <w:r w:rsidR="00870A44" w:rsidRPr="00870A44">
              <w:t>)</w:t>
            </w:r>
            <w:r w:rsidR="00711B6E">
              <w:t xml:space="preserve">. </w:t>
            </w:r>
          </w:p>
        </w:tc>
      </w:tr>
      <w:tr w:rsidR="00DD0FF5" w14:paraId="77925C14" w14:textId="77777777" w:rsidTr="00F97548">
        <w:trPr>
          <w:trHeight w:val="373"/>
        </w:trPr>
        <w:tc>
          <w:tcPr>
            <w:tcW w:w="562" w:type="dxa"/>
          </w:tcPr>
          <w:p w14:paraId="709B4468" w14:textId="77777777" w:rsidR="00DD0FF5" w:rsidRDefault="00DD0FF5" w:rsidP="00DD0FF5">
            <w:pPr>
              <w:pStyle w:val="TableParagraph"/>
              <w:spacing w:before="40"/>
              <w:ind w:left="141"/>
            </w:pPr>
            <w:r>
              <w:t>5.</w:t>
            </w:r>
          </w:p>
        </w:tc>
        <w:tc>
          <w:tcPr>
            <w:tcW w:w="14839" w:type="dxa"/>
          </w:tcPr>
          <w:p w14:paraId="0F9C3B0F" w14:textId="77777777" w:rsidR="00DD0FF5" w:rsidRPr="00AA0F15" w:rsidRDefault="00DD0FF5" w:rsidP="00F42E83">
            <w:pPr>
              <w:pStyle w:val="TableParagraph"/>
              <w:jc w:val="both"/>
            </w:pPr>
            <w:r>
              <w:t>C</w:t>
            </w:r>
            <w:r w:rsidRPr="00DF5E69">
              <w:t>o-</w:t>
            </w:r>
            <w:r>
              <w:t>P</w:t>
            </w:r>
            <w:r w:rsidRPr="00DF5E69">
              <w:t xml:space="preserve">roduction/ </w:t>
            </w:r>
            <w:r w:rsidRPr="0025209D">
              <w:t>P</w:t>
            </w:r>
            <w:r>
              <w:t xml:space="preserve">atient and </w:t>
            </w:r>
            <w:r w:rsidRPr="0025209D">
              <w:t>P</w:t>
            </w:r>
            <w:r>
              <w:t xml:space="preserve">ublic </w:t>
            </w:r>
            <w:r w:rsidR="00505E41">
              <w:t xml:space="preserve">Participation </w:t>
            </w:r>
            <w:r>
              <w:t xml:space="preserve">research </w:t>
            </w:r>
            <w:r w:rsidRPr="0025209D">
              <w:t>activity</w:t>
            </w:r>
            <w:r>
              <w:t xml:space="preserve"> led by </w:t>
            </w:r>
            <w:r w:rsidRPr="008022F4">
              <w:t xml:space="preserve">BSMS staff and/or </w:t>
            </w:r>
            <w:r w:rsidRPr="00B26835">
              <w:t xml:space="preserve">Postgraduate Research and Taught </w:t>
            </w:r>
            <w:r w:rsidRPr="008022F4">
              <w:t xml:space="preserve">students </w:t>
            </w:r>
            <w:r>
              <w:t xml:space="preserve">which is </w:t>
            </w:r>
            <w:r w:rsidRPr="00E0198D">
              <w:t xml:space="preserve">funded or </w:t>
            </w:r>
            <w:r w:rsidRPr="00CE4380">
              <w:t xml:space="preserve">where the intention is to submit </w:t>
            </w:r>
            <w:r w:rsidR="00F42E83">
              <w:t>material</w:t>
            </w:r>
            <w:r w:rsidRPr="00CE4380">
              <w:t xml:space="preserve"> for publication in journals</w:t>
            </w:r>
            <w:r>
              <w:t xml:space="preserve">. </w:t>
            </w:r>
            <w:r w:rsidR="00ED0796">
              <w:t xml:space="preserve">(Please see </w:t>
            </w:r>
            <w:r w:rsidR="006F353C">
              <w:t xml:space="preserve">No. </w:t>
            </w:r>
            <w:r w:rsidR="00ED0796">
              <w:t xml:space="preserve">12. for </w:t>
            </w:r>
            <w:r w:rsidR="001F2256">
              <w:t>a definition of P</w:t>
            </w:r>
            <w:r w:rsidR="00C01475">
              <w:t xml:space="preserve">atient and </w:t>
            </w:r>
            <w:r w:rsidR="001F2256">
              <w:t>P</w:t>
            </w:r>
            <w:r w:rsidR="00C01475">
              <w:t xml:space="preserve">ublic </w:t>
            </w:r>
            <w:r w:rsidR="001F2256">
              <w:t>I</w:t>
            </w:r>
            <w:r w:rsidR="00C01475">
              <w:t>nvolvement (PPI)</w:t>
            </w:r>
            <w:r w:rsidR="001F2256">
              <w:t xml:space="preserve"> activity that </w:t>
            </w:r>
            <w:r w:rsidR="00C01475">
              <w:t xml:space="preserve">is not research and </w:t>
            </w:r>
            <w:r w:rsidR="001F2256">
              <w:t xml:space="preserve">does </w:t>
            </w:r>
            <w:r w:rsidR="001F2256" w:rsidRPr="001F2256">
              <w:t xml:space="preserve">not </w:t>
            </w:r>
            <w:r w:rsidR="001F2256">
              <w:t xml:space="preserve">require ethics review). </w:t>
            </w:r>
          </w:p>
        </w:tc>
      </w:tr>
      <w:tr w:rsidR="00DD0FF5" w14:paraId="59A0DD69" w14:textId="77777777" w:rsidTr="00F97548">
        <w:trPr>
          <w:trHeight w:val="373"/>
        </w:trPr>
        <w:tc>
          <w:tcPr>
            <w:tcW w:w="562" w:type="dxa"/>
          </w:tcPr>
          <w:p w14:paraId="44E35CDB" w14:textId="77777777" w:rsidR="00DD0FF5" w:rsidRDefault="00DD0FF5" w:rsidP="00DD0FF5">
            <w:pPr>
              <w:pStyle w:val="TableParagraph"/>
              <w:spacing w:before="38"/>
              <w:ind w:left="141"/>
            </w:pPr>
            <w:r>
              <w:t>6.</w:t>
            </w:r>
          </w:p>
        </w:tc>
        <w:tc>
          <w:tcPr>
            <w:tcW w:w="14839" w:type="dxa"/>
          </w:tcPr>
          <w:p w14:paraId="616E257B" w14:textId="77777777" w:rsidR="00DD0FF5" w:rsidRPr="00AA0F15" w:rsidRDefault="00DD0FF5" w:rsidP="00DD0FF5">
            <w:pPr>
              <w:pStyle w:val="TableParagraph"/>
              <w:jc w:val="both"/>
            </w:pPr>
            <w:r w:rsidRPr="0025209D">
              <w:t xml:space="preserve">Research </w:t>
            </w:r>
            <w:r>
              <w:t xml:space="preserve">involving </w:t>
            </w:r>
            <w:r w:rsidRPr="00E432D7">
              <w:t xml:space="preserve">data collection </w:t>
            </w:r>
            <w:r w:rsidRPr="0081275A">
              <w:t xml:space="preserve">gathered through </w:t>
            </w:r>
            <w:r>
              <w:t>on</w:t>
            </w:r>
            <w:r w:rsidRPr="00E432D7">
              <w:t xml:space="preserve">line resources, </w:t>
            </w:r>
            <w:r>
              <w:t xml:space="preserve">such as </w:t>
            </w:r>
            <w:r w:rsidRPr="00AE0B57">
              <w:t>groups</w:t>
            </w:r>
            <w:r>
              <w:t xml:space="preserve"> or </w:t>
            </w:r>
            <w:r w:rsidRPr="00AE0B57">
              <w:t>websites</w:t>
            </w:r>
            <w:r>
              <w:t>,</w:t>
            </w:r>
            <w:r w:rsidRPr="00AE0B57">
              <w:t xml:space="preserve"> </w:t>
            </w:r>
            <w:r>
              <w:t xml:space="preserve">or </w:t>
            </w:r>
            <w:r w:rsidRPr="009D56A8">
              <w:t xml:space="preserve">social media platforms, </w:t>
            </w:r>
            <w:r w:rsidRPr="00E432D7">
              <w:t>even those that do not collect or store identifiable data</w:t>
            </w:r>
            <w:r>
              <w:t xml:space="preserve"> or where </w:t>
            </w:r>
            <w:r w:rsidRPr="0025209D">
              <w:t xml:space="preserve">data </w:t>
            </w:r>
            <w:r>
              <w:t xml:space="preserve">is </w:t>
            </w:r>
            <w:r w:rsidRPr="00046242">
              <w:t>gathered without the explicit informed consent of each individua</w:t>
            </w:r>
            <w:r>
              <w:t>l</w:t>
            </w:r>
            <w:r w:rsidRPr="0025209D">
              <w:t>.</w:t>
            </w:r>
          </w:p>
        </w:tc>
      </w:tr>
      <w:tr w:rsidR="00DD0FF5" w14:paraId="047D9C59" w14:textId="77777777" w:rsidTr="00F97548">
        <w:trPr>
          <w:trHeight w:val="371"/>
        </w:trPr>
        <w:tc>
          <w:tcPr>
            <w:tcW w:w="562" w:type="dxa"/>
          </w:tcPr>
          <w:p w14:paraId="0B5AFD68" w14:textId="77777777" w:rsidR="00DD0FF5" w:rsidRDefault="00DD0FF5" w:rsidP="00DD0FF5">
            <w:pPr>
              <w:pStyle w:val="TableParagraph"/>
              <w:spacing w:before="40"/>
              <w:ind w:left="141"/>
            </w:pPr>
            <w:r>
              <w:t>7.</w:t>
            </w:r>
          </w:p>
        </w:tc>
        <w:tc>
          <w:tcPr>
            <w:tcW w:w="14839" w:type="dxa"/>
          </w:tcPr>
          <w:p w14:paraId="3CB846B7" w14:textId="77777777" w:rsidR="00DD0FF5" w:rsidRPr="00AA0F15" w:rsidRDefault="00DD0FF5" w:rsidP="00DD0FF5">
            <w:pPr>
              <w:pStyle w:val="TableParagraph"/>
              <w:jc w:val="both"/>
            </w:pPr>
            <w:r>
              <w:t>BSMS C</w:t>
            </w:r>
            <w:r w:rsidRPr="009D56A8">
              <w:t xml:space="preserve">urriculum </w:t>
            </w:r>
            <w:r w:rsidRPr="00FE11C0">
              <w:t>Evaluatio</w:t>
            </w:r>
            <w:r>
              <w:t xml:space="preserve">n (including course evaluation, </w:t>
            </w:r>
            <w:r w:rsidRPr="00FE11C0">
              <w:t>teaching evaluation</w:t>
            </w:r>
            <w:r>
              <w:t>):</w:t>
            </w:r>
            <w:r w:rsidRPr="00F97548">
              <w:t xml:space="preserve"> If the evaluation projects constitute </w:t>
            </w:r>
            <w:r>
              <w:t xml:space="preserve">primary </w:t>
            </w:r>
            <w:r w:rsidRPr="00F97548">
              <w:t xml:space="preserve">research (e.g. evaluations of </w:t>
            </w:r>
            <w:r w:rsidR="005D4F0D">
              <w:t xml:space="preserve">current or </w:t>
            </w:r>
            <w:r w:rsidRPr="00F97548">
              <w:t>innovative educational techniques)</w:t>
            </w:r>
            <w:r>
              <w:t xml:space="preserve"> and involve </w:t>
            </w:r>
            <w:r w:rsidRPr="00D0285A">
              <w:t xml:space="preserve">the participation </w:t>
            </w:r>
            <w:r>
              <w:t>of undergraduate medical students (</w:t>
            </w:r>
            <w:r w:rsidRPr="003C4117">
              <w:t xml:space="preserve">and do not involve NHS </w:t>
            </w:r>
            <w:r>
              <w:t xml:space="preserve">Staff) </w:t>
            </w:r>
            <w:r w:rsidRPr="007404E6">
              <w:t>or where the intention is to submit findi</w:t>
            </w:r>
            <w:r>
              <w:t>ngs for publication in journals</w:t>
            </w:r>
            <w:r w:rsidRPr="00F97548">
              <w:t xml:space="preserve">.  </w:t>
            </w:r>
          </w:p>
        </w:tc>
      </w:tr>
      <w:tr w:rsidR="0025209D" w14:paraId="79B39050" w14:textId="77777777" w:rsidTr="00F97548">
        <w:trPr>
          <w:trHeight w:val="373"/>
        </w:trPr>
        <w:tc>
          <w:tcPr>
            <w:tcW w:w="562" w:type="dxa"/>
          </w:tcPr>
          <w:p w14:paraId="61E3A8D8" w14:textId="77777777" w:rsidR="0025209D" w:rsidRDefault="00DD0FF5" w:rsidP="0025209D">
            <w:pPr>
              <w:pStyle w:val="TableParagraph"/>
              <w:spacing w:before="40"/>
              <w:ind w:left="141"/>
            </w:pPr>
            <w:r>
              <w:t>8.</w:t>
            </w:r>
          </w:p>
        </w:tc>
        <w:tc>
          <w:tcPr>
            <w:tcW w:w="14839" w:type="dxa"/>
          </w:tcPr>
          <w:p w14:paraId="75D14E3E" w14:textId="77777777" w:rsidR="0025209D" w:rsidRPr="00CD0895" w:rsidRDefault="0025209D" w:rsidP="009B5906">
            <w:pPr>
              <w:pStyle w:val="TableParagraph"/>
              <w:jc w:val="both"/>
            </w:pPr>
            <w:r w:rsidRPr="00B45F48">
              <w:t xml:space="preserve">Service </w:t>
            </w:r>
            <w:r w:rsidR="00815A50" w:rsidRPr="00B45F48">
              <w:t>E</w:t>
            </w:r>
            <w:r w:rsidRPr="00B45F48">
              <w:t xml:space="preserve">valuations and </w:t>
            </w:r>
            <w:r w:rsidR="001C65FA" w:rsidRPr="00B45F48">
              <w:t>A</w:t>
            </w:r>
            <w:r w:rsidRPr="00B45F48">
              <w:t>udits (</w:t>
            </w:r>
            <w:r w:rsidR="00CD0895" w:rsidRPr="00B45F48">
              <w:t xml:space="preserve">involving </w:t>
            </w:r>
            <w:r w:rsidRPr="00B45F48">
              <w:t xml:space="preserve">non NHS </w:t>
            </w:r>
            <w:r w:rsidR="003E3BAB" w:rsidRPr="00B45F48">
              <w:t xml:space="preserve">services and </w:t>
            </w:r>
            <w:r w:rsidRPr="00B45F48">
              <w:t>patients)</w:t>
            </w:r>
            <w:r w:rsidR="00CD0895" w:rsidRPr="00B45F48">
              <w:rPr>
                <w:shd w:val="clear" w:color="auto" w:fill="FFFFFF"/>
              </w:rPr>
              <w:t xml:space="preserve"> asking </w:t>
            </w:r>
            <w:r w:rsidR="00CD0895" w:rsidRPr="00B45F48">
              <w:t>sensitive questions or involving vulnerable people</w:t>
            </w:r>
            <w:r w:rsidR="00A414FA" w:rsidRPr="00B45F48">
              <w:t xml:space="preserve"> or where the intention </w:t>
            </w:r>
            <w:r w:rsidR="00A414FA" w:rsidRPr="00B45F48">
              <w:lastRenderedPageBreak/>
              <w:t>is to submit findings for publication in journals</w:t>
            </w:r>
            <w:r w:rsidR="00242B87" w:rsidRPr="00B45F48">
              <w:t>.</w:t>
            </w:r>
            <w:r w:rsidR="0024135C" w:rsidRPr="00B45F48">
              <w:t xml:space="preserve"> </w:t>
            </w:r>
            <w:r w:rsidR="00F04D38" w:rsidRPr="00F04D38">
              <w:t>Please Note: Regardless of whether the work is research, audit, or service evaluation, any study where the results are to be published externally is subject to ethics review through the University's governance procedures.</w:t>
            </w:r>
          </w:p>
        </w:tc>
      </w:tr>
    </w:tbl>
    <w:p w14:paraId="78B44D90" w14:textId="77777777" w:rsidR="00955983" w:rsidRDefault="00955983" w:rsidP="00955983">
      <w:pPr>
        <w:pStyle w:val="BodyText"/>
        <w:spacing w:before="7"/>
        <w:rPr>
          <w:sz w:val="20"/>
        </w:rPr>
      </w:pPr>
    </w:p>
    <w:p w14:paraId="38107AEF" w14:textId="77777777" w:rsidR="00ED3505" w:rsidRPr="0000340A" w:rsidRDefault="00B62B8E" w:rsidP="00164F9B">
      <w:pPr>
        <w:spacing w:before="91"/>
        <w:jc w:val="both"/>
        <w:rPr>
          <w:b/>
        </w:rPr>
      </w:pPr>
      <w:proofErr w:type="spellStart"/>
      <w:proofErr w:type="gramStart"/>
      <w:r w:rsidRPr="0000340A">
        <w:rPr>
          <w:b/>
        </w:rPr>
        <w:t>No.s</w:t>
      </w:r>
      <w:proofErr w:type="spellEnd"/>
      <w:proofErr w:type="gramEnd"/>
      <w:r w:rsidRPr="0000340A">
        <w:rPr>
          <w:b/>
        </w:rPr>
        <w:t xml:space="preserve"> 9-12: Research activity that </w:t>
      </w:r>
      <w:r w:rsidR="00164F9B" w:rsidRPr="0000340A">
        <w:rPr>
          <w:b/>
        </w:rPr>
        <w:t>does not require</w:t>
      </w:r>
      <w:r w:rsidRPr="0000340A">
        <w:rPr>
          <w:b/>
        </w:rPr>
        <w:t xml:space="preserve"> review by the BSMS Research Governance and Ethics Committee (RGEC)</w:t>
      </w:r>
      <w:r w:rsidR="0000340A" w:rsidRPr="0000340A">
        <w:rPr>
          <w:b/>
        </w:rPr>
        <w:t xml:space="preserve"> or BSMS School Research Ethics Officer</w:t>
      </w:r>
      <w:r w:rsidR="00A50821">
        <w:rPr>
          <w:b/>
        </w:rPr>
        <w:t xml:space="preserve"> (SREO)</w:t>
      </w:r>
      <w:r w:rsidRPr="0000340A">
        <w:rPr>
          <w:b/>
        </w:rPr>
        <w:t>.</w:t>
      </w:r>
    </w:p>
    <w:p w14:paraId="6B48F2C5" w14:textId="77777777" w:rsidR="00B62B8E" w:rsidRDefault="00B62B8E" w:rsidP="00F97548">
      <w:pPr>
        <w:pStyle w:val="BodyText"/>
        <w:ind w:left="100"/>
        <w:jc w:val="both"/>
        <w:rPr>
          <w:b/>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064995" w14:paraId="6D33D6EE" w14:textId="77777777" w:rsidTr="00A2731D">
        <w:trPr>
          <w:trHeight w:val="494"/>
        </w:trPr>
        <w:tc>
          <w:tcPr>
            <w:tcW w:w="15401" w:type="dxa"/>
            <w:gridSpan w:val="2"/>
            <w:shd w:val="clear" w:color="auto" w:fill="F2F2F2" w:themeFill="background1" w:themeFillShade="F2"/>
          </w:tcPr>
          <w:p w14:paraId="68966880" w14:textId="77777777" w:rsidR="00064995" w:rsidRDefault="006B7F9A" w:rsidP="006B7F9A">
            <w:pPr>
              <w:pStyle w:val="TableParagraph"/>
              <w:spacing w:before="117"/>
              <w:ind w:left="136"/>
              <w:rPr>
                <w:b/>
                <w:i/>
              </w:rPr>
            </w:pPr>
            <w:r w:rsidRPr="006B7F9A">
              <w:rPr>
                <w:b/>
                <w:i/>
                <w:color w:val="1F4E79" w:themeColor="accent1" w:themeShade="80"/>
              </w:rPr>
              <w:t xml:space="preserve">Non-clinical (non-NHS) projects </w:t>
            </w:r>
            <w:r w:rsidR="00553E1E" w:rsidRPr="006B7F9A">
              <w:rPr>
                <w:b/>
                <w:i/>
                <w:color w:val="1F4E79" w:themeColor="accent1" w:themeShade="80"/>
              </w:rPr>
              <w:t xml:space="preserve">which </w:t>
            </w:r>
            <w:r w:rsidR="00B77318" w:rsidRPr="006B7F9A">
              <w:rPr>
                <w:b/>
                <w:i/>
                <w:color w:val="1F4E79" w:themeColor="accent1" w:themeShade="80"/>
              </w:rPr>
              <w:t>are</w:t>
            </w:r>
            <w:r w:rsidR="00553E1E" w:rsidRPr="006B7F9A">
              <w:rPr>
                <w:b/>
                <w:i/>
                <w:color w:val="1F4E79" w:themeColor="accent1" w:themeShade="80"/>
              </w:rPr>
              <w:t xml:space="preserve"> exempt from BSMS Research Governance and Ethics Committee (RGEC)</w:t>
            </w:r>
            <w:r w:rsidR="00FD1A32" w:rsidRPr="006B7F9A">
              <w:rPr>
                <w:b/>
                <w:i/>
                <w:color w:val="1F4E79" w:themeColor="accent1" w:themeShade="80"/>
              </w:rPr>
              <w:t xml:space="preserve"> review:</w:t>
            </w:r>
          </w:p>
        </w:tc>
      </w:tr>
      <w:tr w:rsidR="00064995" w14:paraId="60EA96F5" w14:textId="77777777" w:rsidTr="00A15750">
        <w:trPr>
          <w:trHeight w:val="371"/>
        </w:trPr>
        <w:tc>
          <w:tcPr>
            <w:tcW w:w="562" w:type="dxa"/>
          </w:tcPr>
          <w:p w14:paraId="78C95FE5" w14:textId="77777777" w:rsidR="00064995" w:rsidRDefault="00DD0FF5" w:rsidP="00A15750">
            <w:pPr>
              <w:pStyle w:val="TableParagraph"/>
              <w:spacing w:before="38"/>
              <w:ind w:left="141"/>
            </w:pPr>
            <w:r>
              <w:t>9</w:t>
            </w:r>
            <w:r w:rsidR="00D1138B" w:rsidRPr="00D1138B">
              <w:t>.</w:t>
            </w:r>
          </w:p>
        </w:tc>
        <w:tc>
          <w:tcPr>
            <w:tcW w:w="14839" w:type="dxa"/>
          </w:tcPr>
          <w:p w14:paraId="6070C2B6" w14:textId="77777777" w:rsidR="00064995" w:rsidRPr="00553E1E" w:rsidRDefault="000353AD" w:rsidP="00410E8F">
            <w:pPr>
              <w:pStyle w:val="TableParagraph"/>
              <w:jc w:val="both"/>
            </w:pPr>
            <w:r w:rsidRPr="000353AD">
              <w:t>Audit of Data/Secondary data analysis</w:t>
            </w:r>
            <w:r>
              <w:t>:</w:t>
            </w:r>
            <w:r w:rsidRPr="000353AD">
              <w:t xml:space="preserve"> </w:t>
            </w:r>
            <w:r w:rsidR="00540C49" w:rsidRPr="00DE41E1">
              <w:t xml:space="preserve">Datasets can be shared so long as the research projects </w:t>
            </w:r>
            <w:r w:rsidR="00410E8F">
              <w:t>received</w:t>
            </w:r>
            <w:r w:rsidR="00540C49" w:rsidRPr="00DE41E1">
              <w:t xml:space="preserve"> ethic</w:t>
            </w:r>
            <w:r w:rsidR="00410E8F">
              <w:t>s</w:t>
            </w:r>
            <w:r w:rsidR="00540C49" w:rsidRPr="00DE41E1">
              <w:t xml:space="preserve"> approv</w:t>
            </w:r>
            <w:r w:rsidR="00410E8F">
              <w:t>al</w:t>
            </w:r>
            <w:r w:rsidR="00540C49" w:rsidRPr="00DE41E1">
              <w:t xml:space="preserve"> and the data to be shared has first been anonymised</w:t>
            </w:r>
            <w:r w:rsidR="00C319D1" w:rsidRPr="00C319D1">
              <w:rPr>
                <w:color w:val="343536"/>
                <w:shd w:val="clear" w:color="auto" w:fill="FFFFFF"/>
              </w:rPr>
              <w:t xml:space="preserve"> </w:t>
            </w:r>
            <w:r w:rsidR="00C319D1" w:rsidRPr="000E1471">
              <w:rPr>
                <w:shd w:val="clear" w:color="auto" w:fill="FFFFFF"/>
              </w:rPr>
              <w:t xml:space="preserve">and </w:t>
            </w:r>
            <w:r w:rsidR="005B5188">
              <w:t>the Principal Investigator</w:t>
            </w:r>
            <w:r w:rsidR="00C319D1" w:rsidRPr="00C319D1">
              <w:t xml:space="preserve"> </w:t>
            </w:r>
            <w:r w:rsidR="005B5188">
              <w:t xml:space="preserve">is able </w:t>
            </w:r>
            <w:r w:rsidR="00C319D1" w:rsidRPr="00C319D1">
              <w:t>to provide explicit consent from the data controller to access the data</w:t>
            </w:r>
            <w:r w:rsidR="006000A5" w:rsidRPr="006000A5">
              <w:rPr>
                <w:color w:val="343536"/>
                <w:shd w:val="clear" w:color="auto" w:fill="FFFFFF"/>
              </w:rPr>
              <w:t xml:space="preserve"> </w:t>
            </w:r>
            <w:r w:rsidR="006000A5" w:rsidRPr="000E1471">
              <w:rPr>
                <w:shd w:val="clear" w:color="auto" w:fill="FFFFFF"/>
              </w:rPr>
              <w:t xml:space="preserve">and </w:t>
            </w:r>
            <w:r w:rsidR="006000A5" w:rsidRPr="006000A5">
              <w:t>prove that the data will be used for a purpose which falls within the remit of the original consent provided by data subjects</w:t>
            </w:r>
            <w:r w:rsidR="00540C49" w:rsidRPr="00DE41E1">
              <w:t xml:space="preserve">. </w:t>
            </w:r>
            <w:r w:rsidR="000E199B">
              <w:t xml:space="preserve">These studies are exempt from ethics review unless there is </w:t>
            </w:r>
            <w:r w:rsidR="000E199B" w:rsidRPr="000E199B">
              <w:t>an intention to publish</w:t>
            </w:r>
            <w:r w:rsidR="000E199B">
              <w:t>, in which case</w:t>
            </w:r>
            <w:r w:rsidR="000E199B" w:rsidRPr="000E199B">
              <w:t xml:space="preserve"> prospective publishers </w:t>
            </w:r>
            <w:r w:rsidR="000E199B">
              <w:t>may require</w:t>
            </w:r>
            <w:r w:rsidR="000E199B" w:rsidRPr="000E199B">
              <w:t xml:space="preserve"> evid</w:t>
            </w:r>
            <w:r w:rsidR="00CF4588">
              <w:t>ence that ethics</w:t>
            </w:r>
            <w:r w:rsidR="000E199B" w:rsidRPr="000E199B">
              <w:t xml:space="preserve"> review has been achieved</w:t>
            </w:r>
            <w:r w:rsidR="000E199B">
              <w:t>.</w:t>
            </w:r>
          </w:p>
        </w:tc>
      </w:tr>
      <w:tr w:rsidR="003D69A3" w14:paraId="600C1D46" w14:textId="77777777" w:rsidTr="00A15750">
        <w:trPr>
          <w:trHeight w:val="371"/>
        </w:trPr>
        <w:tc>
          <w:tcPr>
            <w:tcW w:w="562" w:type="dxa"/>
          </w:tcPr>
          <w:p w14:paraId="22AE22DA" w14:textId="77777777" w:rsidR="003D69A3" w:rsidRPr="00D1138B" w:rsidRDefault="00DD0FF5" w:rsidP="00A15750">
            <w:pPr>
              <w:pStyle w:val="TableParagraph"/>
              <w:spacing w:before="38"/>
              <w:ind w:left="141"/>
            </w:pPr>
            <w:r>
              <w:t>10</w:t>
            </w:r>
            <w:r w:rsidR="003D69A3">
              <w:t xml:space="preserve">. </w:t>
            </w:r>
          </w:p>
        </w:tc>
        <w:tc>
          <w:tcPr>
            <w:tcW w:w="14839" w:type="dxa"/>
          </w:tcPr>
          <w:p w14:paraId="0D7BC39D" w14:textId="77777777" w:rsidR="003D69A3" w:rsidRPr="00553E1E" w:rsidRDefault="003D69A3" w:rsidP="00C730F7">
            <w:pPr>
              <w:pStyle w:val="TableParagraph"/>
              <w:jc w:val="both"/>
            </w:pPr>
            <w:r w:rsidRPr="003D69A3">
              <w:t>Research involving anonymised records and data sets that exist in the public domain</w:t>
            </w:r>
            <w:r w:rsidR="00C368CC">
              <w:t>. E.g.</w:t>
            </w:r>
            <w:r w:rsidR="00C368CC" w:rsidRPr="00C368CC">
              <w:t>, datasets available through the Office for National Statistics or the UK Data Archive where appropriate permissions have already been obtained and it is not possible to identify individuals from the information provided.</w:t>
            </w:r>
            <w:r w:rsidR="00E71F7B">
              <w:t xml:space="preserve"> </w:t>
            </w:r>
            <w:r w:rsidR="00051466" w:rsidRPr="00C730F7">
              <w:t xml:space="preserve">Research involving </w:t>
            </w:r>
            <w:r w:rsidR="00F5624A" w:rsidRPr="00C730F7">
              <w:t xml:space="preserve">public data sets that are not in the public domain and can only be accessed by accredited researchers (e.g. ONS data) </w:t>
            </w:r>
            <w:r w:rsidR="00051466" w:rsidRPr="00C730F7">
              <w:t>which falls under t</w:t>
            </w:r>
            <w:r w:rsidR="00E71F7B" w:rsidRPr="00C730F7">
              <w:t>he Digital Economy Act 2017</w:t>
            </w:r>
            <w:r w:rsidR="00F5624A" w:rsidRPr="00C730F7">
              <w:t>. Research</w:t>
            </w:r>
            <w:r w:rsidR="00E71F7B" w:rsidRPr="00C730F7">
              <w:t xml:space="preserve"> ethics review </w:t>
            </w:r>
            <w:r w:rsidR="00F5624A" w:rsidRPr="00C730F7">
              <w:t>is not</w:t>
            </w:r>
            <w:r w:rsidR="00E71F7B" w:rsidRPr="00C730F7">
              <w:t xml:space="preserve"> </w:t>
            </w:r>
            <w:r w:rsidR="00F5624A" w:rsidRPr="00C730F7">
              <w:t xml:space="preserve">required </w:t>
            </w:r>
            <w:r w:rsidR="00E71F7B" w:rsidRPr="00C730F7">
              <w:t xml:space="preserve">if </w:t>
            </w:r>
            <w:r w:rsidR="00F5624A" w:rsidRPr="00C730F7">
              <w:t xml:space="preserve">the PI </w:t>
            </w:r>
            <w:r w:rsidR="00E71F7B" w:rsidRPr="00C730F7">
              <w:t>ha</w:t>
            </w:r>
            <w:r w:rsidR="00F5624A" w:rsidRPr="00C730F7">
              <w:t>s</w:t>
            </w:r>
            <w:r w:rsidR="00E71F7B" w:rsidRPr="00C730F7">
              <w:t xml:space="preserve"> already obtained </w:t>
            </w:r>
            <w:r w:rsidR="00F5624A" w:rsidRPr="00C730F7">
              <w:t>approval</w:t>
            </w:r>
            <w:r w:rsidR="00E71F7B" w:rsidRPr="00C730F7">
              <w:t xml:space="preserve"> from the UK Data Authority but </w:t>
            </w:r>
            <w:r w:rsidR="00F5624A" w:rsidRPr="00C730F7">
              <w:t>evidence of</w:t>
            </w:r>
            <w:r w:rsidR="00E71F7B" w:rsidRPr="00C730F7">
              <w:t xml:space="preserve"> </w:t>
            </w:r>
            <w:r w:rsidR="00C730F7" w:rsidRPr="00C730F7">
              <w:t>approval</w:t>
            </w:r>
            <w:r w:rsidR="00F5624A" w:rsidRPr="00C730F7">
              <w:t xml:space="preserve"> is </w:t>
            </w:r>
            <w:r w:rsidR="00C730F7" w:rsidRPr="00C730F7">
              <w:t>required</w:t>
            </w:r>
            <w:r w:rsidR="00E71F7B" w:rsidRPr="00C730F7">
              <w:t>.</w:t>
            </w:r>
          </w:p>
        </w:tc>
      </w:tr>
      <w:tr w:rsidR="00080433" w14:paraId="3CDE1AFE" w14:textId="77777777" w:rsidTr="00A15750">
        <w:trPr>
          <w:trHeight w:val="371"/>
        </w:trPr>
        <w:tc>
          <w:tcPr>
            <w:tcW w:w="562" w:type="dxa"/>
          </w:tcPr>
          <w:p w14:paraId="4BCBEBF5" w14:textId="77777777" w:rsidR="00080433" w:rsidRDefault="00080433" w:rsidP="00A15750">
            <w:pPr>
              <w:pStyle w:val="TableParagraph"/>
              <w:spacing w:before="38"/>
              <w:ind w:left="141"/>
            </w:pPr>
            <w:r>
              <w:t>11</w:t>
            </w:r>
            <w:r w:rsidR="00ED0796">
              <w:t>.</w:t>
            </w:r>
          </w:p>
        </w:tc>
        <w:tc>
          <w:tcPr>
            <w:tcW w:w="14839" w:type="dxa"/>
          </w:tcPr>
          <w:p w14:paraId="6927F490" w14:textId="77777777" w:rsidR="00080433" w:rsidRPr="00080433" w:rsidRDefault="00080433" w:rsidP="000E5544">
            <w:pPr>
              <w:pStyle w:val="TableParagraph"/>
              <w:jc w:val="both"/>
              <w:rPr>
                <w:b/>
              </w:rPr>
            </w:pPr>
            <w:r w:rsidRPr="001236FB">
              <w:t>Projects requir</w:t>
            </w:r>
            <w:r w:rsidR="001236FB" w:rsidRPr="001236FB">
              <w:t>ing</w:t>
            </w:r>
            <w:r w:rsidRPr="001236FB">
              <w:t xml:space="preserve"> BSMS Gatekeeper Approval:</w:t>
            </w:r>
            <w:r>
              <w:rPr>
                <w:b/>
              </w:rPr>
              <w:t xml:space="preserve"> </w:t>
            </w:r>
            <w:r w:rsidRPr="00080433">
              <w:t xml:space="preserve">Externally led </w:t>
            </w:r>
            <w:r w:rsidR="001236FB">
              <w:t xml:space="preserve">research </w:t>
            </w:r>
            <w:r w:rsidRPr="00080433">
              <w:t>projects seek</w:t>
            </w:r>
            <w:r w:rsidR="001236FB">
              <w:t>ing</w:t>
            </w:r>
            <w:r w:rsidRPr="00080433">
              <w:t xml:space="preserve"> to recruit </w:t>
            </w:r>
            <w:r w:rsidR="001236FB">
              <w:t xml:space="preserve">either </w:t>
            </w:r>
            <w:r w:rsidRPr="00080433">
              <w:t>BSMS students or staff</w:t>
            </w:r>
            <w:r>
              <w:t xml:space="preserve"> </w:t>
            </w:r>
            <w:r w:rsidR="001236FB">
              <w:t xml:space="preserve">will </w:t>
            </w:r>
            <w:r>
              <w:t xml:space="preserve">require BSMS Gatekeeper Approval, </w:t>
            </w:r>
            <w:r w:rsidR="001236FB">
              <w:t>‘</w:t>
            </w:r>
            <w:r>
              <w:t>light touch</w:t>
            </w:r>
            <w:r w:rsidR="001236FB">
              <w:t>’</w:t>
            </w:r>
            <w:r>
              <w:t xml:space="preserve"> review of the approved ethics application and </w:t>
            </w:r>
            <w:r w:rsidR="001236FB">
              <w:t>survey/research tools</w:t>
            </w:r>
            <w:r w:rsidRPr="00080433">
              <w:t xml:space="preserve">. </w:t>
            </w:r>
          </w:p>
        </w:tc>
      </w:tr>
      <w:tr w:rsidR="00492416" w14:paraId="58C6C88E" w14:textId="77777777" w:rsidTr="00A15750">
        <w:trPr>
          <w:trHeight w:val="371"/>
        </w:trPr>
        <w:tc>
          <w:tcPr>
            <w:tcW w:w="562" w:type="dxa"/>
          </w:tcPr>
          <w:p w14:paraId="2FBE6495" w14:textId="77777777" w:rsidR="00492416" w:rsidRDefault="00492416" w:rsidP="00A15750">
            <w:pPr>
              <w:pStyle w:val="TableParagraph"/>
              <w:spacing w:before="38"/>
              <w:ind w:left="141"/>
            </w:pPr>
            <w:r>
              <w:t>12</w:t>
            </w:r>
            <w:r w:rsidR="00ED0796">
              <w:t>.</w:t>
            </w:r>
          </w:p>
        </w:tc>
        <w:tc>
          <w:tcPr>
            <w:tcW w:w="14839" w:type="dxa"/>
          </w:tcPr>
          <w:p w14:paraId="36256798" w14:textId="77777777" w:rsidR="00AA1CD6" w:rsidRPr="00AA1CD6" w:rsidRDefault="00AA1CD6" w:rsidP="00AA1CD6">
            <w:pPr>
              <w:jc w:val="both"/>
              <w:rPr>
                <w:rFonts w:eastAsiaTheme="minorHAnsi"/>
                <w:lang w:bidi="ar-SA"/>
              </w:rPr>
            </w:pPr>
            <w:r>
              <w:rPr>
                <w:color w:val="000000"/>
              </w:rPr>
              <w:t xml:space="preserve">  </w:t>
            </w:r>
            <w:r w:rsidR="007B75EA">
              <w:rPr>
                <w:color w:val="000000"/>
              </w:rPr>
              <w:t>Ethics</w:t>
            </w:r>
            <w:r w:rsidRPr="00AA1CD6">
              <w:rPr>
                <w:color w:val="000000"/>
              </w:rPr>
              <w:t xml:space="preserve"> review is not normally required for PPI activities providing certain criteria are met. For example, that:</w:t>
            </w:r>
          </w:p>
          <w:p w14:paraId="5404064A" w14:textId="77777777" w:rsidR="00AA1CD6" w:rsidRPr="00AA1CD6" w:rsidRDefault="00AA1CD6" w:rsidP="00AA1CD6">
            <w:pPr>
              <w:jc w:val="both"/>
            </w:pPr>
            <w:r w:rsidRPr="00AA1CD6">
              <w:rPr>
                <w:color w:val="000000"/>
              </w:rPr>
              <w:t> </w:t>
            </w:r>
          </w:p>
          <w:p w14:paraId="39721714" w14:textId="77777777" w:rsidR="00AA1CD6" w:rsidRPr="00AA1CD6" w:rsidRDefault="00AA1CD6" w:rsidP="00AA1CD6">
            <w:pPr>
              <w:pStyle w:val="ListParagraph"/>
              <w:numPr>
                <w:ilvl w:val="0"/>
                <w:numId w:val="2"/>
              </w:numPr>
              <w:spacing w:after="0" w:line="240" w:lineRule="auto"/>
              <w:jc w:val="both"/>
              <w:rPr>
                <w:rFonts w:ascii="Arial" w:hAnsi="Arial" w:cs="Arial"/>
                <w:lang w:eastAsia="en-GB"/>
              </w:rPr>
            </w:pPr>
            <w:r w:rsidRPr="00AA1CD6">
              <w:rPr>
                <w:rFonts w:ascii="Arial" w:hAnsi="Arial" w:cs="Arial"/>
                <w:color w:val="000000"/>
                <w:lang w:eastAsia="en-GB"/>
              </w:rPr>
              <w:t>Vulnerable or dependant groups are not included;</w:t>
            </w:r>
          </w:p>
          <w:p w14:paraId="68EC3E11" w14:textId="77777777" w:rsidR="00AA1CD6" w:rsidRPr="00AA1CD6" w:rsidRDefault="00AA1CD6" w:rsidP="00AA1CD6">
            <w:pPr>
              <w:pStyle w:val="ListParagraph"/>
              <w:numPr>
                <w:ilvl w:val="0"/>
                <w:numId w:val="2"/>
              </w:numPr>
              <w:spacing w:after="0" w:line="240" w:lineRule="auto"/>
              <w:jc w:val="both"/>
              <w:rPr>
                <w:rFonts w:ascii="Arial" w:hAnsi="Arial" w:cs="Arial"/>
                <w:lang w:eastAsia="en-GB"/>
              </w:rPr>
            </w:pPr>
            <w:r w:rsidRPr="00AA1CD6">
              <w:rPr>
                <w:rFonts w:ascii="Arial" w:hAnsi="Arial" w:cs="Arial"/>
                <w:color w:val="000000"/>
                <w:lang w:eastAsia="en-GB"/>
              </w:rPr>
              <w:t>There is no risk of possible disclosures or reporting obligations; </w:t>
            </w:r>
          </w:p>
          <w:p w14:paraId="4A161048" w14:textId="77777777" w:rsidR="00AA1CD6" w:rsidRPr="00AA1CD6" w:rsidRDefault="00AA1CD6" w:rsidP="00AA1CD6">
            <w:pPr>
              <w:pStyle w:val="ListParagraph"/>
              <w:numPr>
                <w:ilvl w:val="0"/>
                <w:numId w:val="2"/>
              </w:numPr>
              <w:spacing w:after="0" w:line="240" w:lineRule="auto"/>
              <w:jc w:val="both"/>
              <w:rPr>
                <w:rFonts w:ascii="Arial" w:hAnsi="Arial" w:cs="Arial"/>
                <w:lang w:eastAsia="en-GB"/>
              </w:rPr>
            </w:pPr>
            <w:r w:rsidRPr="00AA1CD6">
              <w:rPr>
                <w:rFonts w:ascii="Arial" w:hAnsi="Arial" w:cs="Arial"/>
                <w:color w:val="000000"/>
                <w:lang w:eastAsia="en-GB"/>
              </w:rPr>
              <w:t>The data is not considered to be sensitive or confidential in nature; </w:t>
            </w:r>
          </w:p>
          <w:p w14:paraId="4B7B6888" w14:textId="77777777" w:rsidR="00492416" w:rsidRPr="005556F9" w:rsidRDefault="00AA1CD6" w:rsidP="005556F9">
            <w:pPr>
              <w:pStyle w:val="ListParagraph"/>
              <w:numPr>
                <w:ilvl w:val="0"/>
                <w:numId w:val="2"/>
              </w:numPr>
              <w:spacing w:after="0" w:line="240" w:lineRule="auto"/>
              <w:jc w:val="both"/>
              <w:rPr>
                <w:rFonts w:ascii="Arial" w:hAnsi="Arial" w:cs="Arial"/>
                <w:lang w:eastAsia="en-GB"/>
              </w:rPr>
            </w:pPr>
            <w:r w:rsidRPr="00AA1CD6">
              <w:rPr>
                <w:rFonts w:ascii="Arial" w:hAnsi="Arial" w:cs="Arial"/>
                <w:color w:val="000000"/>
                <w:lang w:eastAsia="en-GB"/>
              </w:rPr>
              <w:t>And publication is not an intended outcome. </w:t>
            </w:r>
          </w:p>
          <w:p w14:paraId="58660318" w14:textId="77777777" w:rsidR="005556F9" w:rsidRPr="005556F9" w:rsidRDefault="005556F9" w:rsidP="005556F9">
            <w:pPr>
              <w:pStyle w:val="ListParagraph"/>
              <w:spacing w:after="0" w:line="240" w:lineRule="auto"/>
              <w:jc w:val="both"/>
              <w:rPr>
                <w:rFonts w:ascii="Arial" w:hAnsi="Arial" w:cs="Arial"/>
                <w:lang w:eastAsia="en-GB"/>
              </w:rPr>
            </w:pPr>
          </w:p>
          <w:p w14:paraId="5C9199D1" w14:textId="77777777" w:rsidR="00AA1CD6" w:rsidRPr="001236FB" w:rsidRDefault="00AA1CD6" w:rsidP="005556F9">
            <w:pPr>
              <w:pStyle w:val="TableParagraph"/>
              <w:jc w:val="both"/>
            </w:pPr>
            <w:r>
              <w:rPr>
                <w:color w:val="000000"/>
              </w:rPr>
              <w:t>‘PPI activities’ involve direct input from groups and individuals with relevant lived experience to provide useful assistance with either the design of research or content of participant facing materials. Such involvement is not the same as being a ‘research participant’. Examples of questions that could reasonably be asked during a PPI consultation would be: “Please can you look at our proposed Participant Information Sheet and Consent form?”; “What do you think about our recruitment strategy?”; “Do you think it will work?”, as well as other matters which will help the researchers that are distinct from being a research participant. However, where activity spills over into questions typically defined as qualitative research or involves an intention to publish, it would no longer be determined as a purely evaluative endeavour. If patients were asked about their experiences of accessing Mental Health services, an example of a research question might be: "How do we improve what mental health treatment you have received?" This question is research (and not PPI) since it attempts to derive generalisable new knowledge by addressing clearly defined questions and is concerned with answering research question/s themselves.  </w:t>
            </w:r>
          </w:p>
        </w:tc>
      </w:tr>
    </w:tbl>
    <w:p w14:paraId="5D08E36C" w14:textId="77777777" w:rsidR="00D87A80" w:rsidRDefault="00D87A80" w:rsidP="00FE5B68">
      <w:pPr>
        <w:pStyle w:val="BodyText"/>
        <w:jc w:val="both"/>
        <w:rPr>
          <w:b/>
        </w:rPr>
      </w:pPr>
    </w:p>
    <w:p w14:paraId="39099F65" w14:textId="77777777" w:rsidR="00342B57" w:rsidRDefault="00342B57" w:rsidP="00F03ECD">
      <w:pPr>
        <w:pStyle w:val="BodyText"/>
        <w:jc w:val="both"/>
        <w:rPr>
          <w:b/>
        </w:rPr>
      </w:pPr>
    </w:p>
    <w:p w14:paraId="4134B484" w14:textId="77777777" w:rsidR="00342B57" w:rsidRDefault="00342B57" w:rsidP="00F03ECD">
      <w:pPr>
        <w:pStyle w:val="BodyText"/>
        <w:jc w:val="both"/>
        <w:rPr>
          <w:b/>
        </w:rPr>
      </w:pPr>
    </w:p>
    <w:p w14:paraId="1DFE0917" w14:textId="77777777" w:rsidR="00342B57" w:rsidRDefault="00342B57" w:rsidP="00F03ECD">
      <w:pPr>
        <w:pStyle w:val="BodyText"/>
        <w:jc w:val="both"/>
        <w:rPr>
          <w:b/>
        </w:rPr>
      </w:pPr>
    </w:p>
    <w:p w14:paraId="35AF88BB" w14:textId="77777777" w:rsidR="00955983" w:rsidRPr="00F97548" w:rsidRDefault="00A0683E" w:rsidP="00F97548">
      <w:pPr>
        <w:pStyle w:val="BodyText"/>
        <w:ind w:left="100"/>
        <w:jc w:val="both"/>
        <w:rPr>
          <w:b/>
        </w:rPr>
      </w:pPr>
      <w:proofErr w:type="spellStart"/>
      <w:proofErr w:type="gramStart"/>
      <w:r>
        <w:rPr>
          <w:b/>
        </w:rPr>
        <w:lastRenderedPageBreak/>
        <w:t>No.s</w:t>
      </w:r>
      <w:proofErr w:type="spellEnd"/>
      <w:proofErr w:type="gramEnd"/>
      <w:r>
        <w:rPr>
          <w:b/>
        </w:rPr>
        <w:t xml:space="preserve"> 1</w:t>
      </w:r>
      <w:r w:rsidR="00492416">
        <w:rPr>
          <w:b/>
        </w:rPr>
        <w:t>3</w:t>
      </w:r>
      <w:r>
        <w:rPr>
          <w:b/>
        </w:rPr>
        <w:t xml:space="preserve"> – 1</w:t>
      </w:r>
      <w:r w:rsidR="00492416">
        <w:rPr>
          <w:b/>
        </w:rPr>
        <w:t>7</w:t>
      </w:r>
      <w:r w:rsidR="000E64E1">
        <w:rPr>
          <w:b/>
        </w:rPr>
        <w:t>:</w:t>
      </w:r>
      <w:r>
        <w:rPr>
          <w:b/>
        </w:rPr>
        <w:t xml:space="preserve"> R</w:t>
      </w:r>
      <w:r w:rsidR="00955983" w:rsidRPr="00F97548">
        <w:rPr>
          <w:b/>
        </w:rPr>
        <w:t>esearch activit</w:t>
      </w:r>
      <w:r>
        <w:rPr>
          <w:b/>
        </w:rPr>
        <w:t>ies</w:t>
      </w:r>
      <w:r w:rsidR="00955983" w:rsidRPr="00F97548">
        <w:rPr>
          <w:b/>
        </w:rPr>
        <w:t xml:space="preserve"> </w:t>
      </w:r>
      <w:r w:rsidR="005466ED">
        <w:rPr>
          <w:b/>
        </w:rPr>
        <w:t xml:space="preserve">that fall </w:t>
      </w:r>
      <w:r w:rsidR="00DF4C3C">
        <w:rPr>
          <w:b/>
        </w:rPr>
        <w:t>under the remit of</w:t>
      </w:r>
      <w:r w:rsidR="00955983" w:rsidRPr="00F97548">
        <w:rPr>
          <w:b/>
        </w:rPr>
        <w:t xml:space="preserve"> the </w:t>
      </w:r>
      <w:r w:rsidR="00B05231">
        <w:rPr>
          <w:b/>
        </w:rPr>
        <w:t xml:space="preserve">Pre-Sponsorship Review Panel (PSRP), </w:t>
      </w:r>
      <w:r w:rsidR="00955983" w:rsidRPr="00F97548">
        <w:rPr>
          <w:b/>
        </w:rPr>
        <w:t xml:space="preserve">University </w:t>
      </w:r>
      <w:r w:rsidR="00F97548" w:rsidRPr="00F97548">
        <w:rPr>
          <w:b/>
        </w:rPr>
        <w:t xml:space="preserve">of Sussex </w:t>
      </w:r>
      <w:r w:rsidR="00955983" w:rsidRPr="00F97548">
        <w:rPr>
          <w:b/>
        </w:rPr>
        <w:t xml:space="preserve">Sponsorship </w:t>
      </w:r>
      <w:r w:rsidR="00F97548" w:rsidRPr="00F97548">
        <w:rPr>
          <w:b/>
        </w:rPr>
        <w:t>Sub-Committee (SSC) and</w:t>
      </w:r>
      <w:r w:rsidR="005466ED">
        <w:rPr>
          <w:b/>
        </w:rPr>
        <w:t>,</w:t>
      </w:r>
      <w:r w:rsidR="00F97548" w:rsidRPr="00F97548">
        <w:rPr>
          <w:b/>
        </w:rPr>
        <w:t xml:space="preserve"> the Health Research Authority (HRA)</w:t>
      </w:r>
      <w:r w:rsidR="00955983" w:rsidRPr="00F97548">
        <w:rPr>
          <w:b/>
        </w:rPr>
        <w:t>.</w:t>
      </w:r>
    </w:p>
    <w:p w14:paraId="2A1D2B74" w14:textId="77777777" w:rsidR="00955983" w:rsidRDefault="00955983" w:rsidP="00955983">
      <w:pPr>
        <w:pStyle w:val="BodyText"/>
        <w:spacing w:before="10" w:after="1"/>
        <w:rPr>
          <w:sz w:val="13"/>
        </w:rPr>
      </w:pPr>
    </w:p>
    <w:tbl>
      <w:tblPr>
        <w:tblW w:w="1533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089"/>
        <w:gridCol w:w="3685"/>
      </w:tblGrid>
      <w:tr w:rsidR="005F12CF" w14:paraId="1A55E5D3" w14:textId="77777777" w:rsidTr="00A2731D">
        <w:trPr>
          <w:trHeight w:val="745"/>
        </w:trPr>
        <w:tc>
          <w:tcPr>
            <w:tcW w:w="11651" w:type="dxa"/>
            <w:gridSpan w:val="2"/>
            <w:shd w:val="clear" w:color="auto" w:fill="F2F2F2" w:themeFill="background1" w:themeFillShade="F2"/>
          </w:tcPr>
          <w:p w14:paraId="3C18B97D" w14:textId="77777777" w:rsidR="005F12CF" w:rsidRPr="002B2391" w:rsidRDefault="005F12CF" w:rsidP="00B11450">
            <w:pPr>
              <w:pStyle w:val="TableParagraph"/>
              <w:spacing w:before="117"/>
              <w:ind w:right="957"/>
              <w:rPr>
                <w:b/>
                <w:i/>
                <w:color w:val="1F4E79" w:themeColor="accent1" w:themeShade="80"/>
              </w:rPr>
            </w:pPr>
            <w:r w:rsidRPr="002B2391">
              <w:rPr>
                <w:b/>
                <w:i/>
                <w:color w:val="1F4E79" w:themeColor="accent1" w:themeShade="80"/>
              </w:rPr>
              <w:t>Projects that meet the following criteria must be reviewed by an NHS REC</w:t>
            </w:r>
            <w:r w:rsidR="002B2391" w:rsidRPr="002B2391">
              <w:rPr>
                <w:b/>
                <w:i/>
                <w:color w:val="1F4E79" w:themeColor="accent1" w:themeShade="80"/>
              </w:rPr>
              <w:t xml:space="preserve"> or the Health Research Authority (HRA)</w:t>
            </w:r>
            <w:r w:rsidR="00B11450">
              <w:rPr>
                <w:b/>
                <w:i/>
                <w:color w:val="1F4E79" w:themeColor="accent1" w:themeShade="80"/>
              </w:rPr>
              <w:t xml:space="preserve"> for </w:t>
            </w:r>
            <w:r w:rsidR="00B11450" w:rsidRPr="00B11450">
              <w:rPr>
                <w:b/>
                <w:i/>
                <w:color w:val="1F4E79" w:themeColor="accent1" w:themeShade="80"/>
              </w:rPr>
              <w:t>governance and legal assessment</w:t>
            </w:r>
            <w:r w:rsidR="008774C1" w:rsidRPr="002B2391">
              <w:rPr>
                <w:b/>
                <w:i/>
                <w:color w:val="1F4E79" w:themeColor="accent1" w:themeShade="80"/>
              </w:rPr>
              <w:t>:</w:t>
            </w:r>
            <w:r w:rsidRPr="002B2391">
              <w:rPr>
                <w:b/>
                <w:i/>
                <w:color w:val="1F4E79" w:themeColor="accent1" w:themeShade="80"/>
              </w:rPr>
              <w:t xml:space="preserve"> </w:t>
            </w:r>
          </w:p>
        </w:tc>
        <w:tc>
          <w:tcPr>
            <w:tcW w:w="3685" w:type="dxa"/>
            <w:shd w:val="clear" w:color="auto" w:fill="F2F2F2" w:themeFill="background1" w:themeFillShade="F2"/>
          </w:tcPr>
          <w:p w14:paraId="1B90BAAB" w14:textId="77777777" w:rsidR="005F12CF" w:rsidRPr="0090667F" w:rsidRDefault="005F12CF" w:rsidP="0023178C">
            <w:pPr>
              <w:pStyle w:val="TableParagraph"/>
              <w:spacing w:before="117"/>
              <w:ind w:right="957"/>
              <w:rPr>
                <w:b/>
                <w:i/>
                <w:color w:val="1F4E79" w:themeColor="accent1" w:themeShade="80"/>
              </w:rPr>
            </w:pPr>
            <w:r w:rsidRPr="0090667F">
              <w:rPr>
                <w:b/>
                <w:bCs/>
                <w:i/>
                <w:color w:val="1F4E79" w:themeColor="accent1" w:themeShade="80"/>
              </w:rPr>
              <w:t>Other approvals required</w:t>
            </w:r>
          </w:p>
        </w:tc>
      </w:tr>
      <w:tr w:rsidR="00473948" w14:paraId="1B57D5B8" w14:textId="77777777" w:rsidTr="00A124CF">
        <w:trPr>
          <w:trHeight w:val="506"/>
        </w:trPr>
        <w:tc>
          <w:tcPr>
            <w:tcW w:w="562" w:type="dxa"/>
          </w:tcPr>
          <w:p w14:paraId="6C5E8FDD" w14:textId="77777777" w:rsidR="00473948" w:rsidRDefault="00361AA6" w:rsidP="00492416">
            <w:pPr>
              <w:pStyle w:val="TableParagraph"/>
              <w:spacing w:before="0" w:line="250" w:lineRule="exact"/>
              <w:ind w:left="105"/>
            </w:pPr>
            <w:r>
              <w:t>1</w:t>
            </w:r>
            <w:r w:rsidR="00492416">
              <w:t>3</w:t>
            </w:r>
            <w:r w:rsidR="00473948">
              <w:t>.</w:t>
            </w:r>
          </w:p>
        </w:tc>
        <w:tc>
          <w:tcPr>
            <w:tcW w:w="11089" w:type="dxa"/>
            <w:shd w:val="clear" w:color="auto" w:fill="FCFCFC"/>
          </w:tcPr>
          <w:p w14:paraId="02C204AE" w14:textId="77777777" w:rsidR="00473948" w:rsidRDefault="00473948" w:rsidP="00E0198D">
            <w:pPr>
              <w:pStyle w:val="TableParagraph"/>
              <w:spacing w:before="2" w:line="252" w:lineRule="exact"/>
              <w:ind w:right="98"/>
              <w:jc w:val="both"/>
            </w:pPr>
            <w:r>
              <w:t xml:space="preserve">Research involving </w:t>
            </w:r>
            <w:r w:rsidRPr="00955983">
              <w:t xml:space="preserve">individuals identified as potential research participants because of their status as </w:t>
            </w:r>
            <w:r w:rsidRPr="0024323E">
              <w:t xml:space="preserve">NHS patients, </w:t>
            </w:r>
            <w:r w:rsidRPr="00955983">
              <w:t>relatives or carers of patients and other service users of the NHS</w:t>
            </w:r>
            <w:r>
              <w:t>.</w:t>
            </w:r>
            <w:r w:rsidRPr="00955983">
              <w:t xml:space="preserve"> </w:t>
            </w:r>
          </w:p>
        </w:tc>
        <w:tc>
          <w:tcPr>
            <w:tcW w:w="3685" w:type="dxa"/>
            <w:shd w:val="clear" w:color="auto" w:fill="FCFCFC"/>
          </w:tcPr>
          <w:p w14:paraId="683A3032" w14:textId="77777777" w:rsidR="00473948" w:rsidRPr="00E0198D" w:rsidRDefault="00473948" w:rsidP="00473948">
            <w:r w:rsidRPr="00E0198D">
              <w:t xml:space="preserve">University of Sussex Sponsorship + HRA Approval </w:t>
            </w:r>
          </w:p>
        </w:tc>
      </w:tr>
      <w:tr w:rsidR="00473948" w14:paraId="0E95214B" w14:textId="77777777" w:rsidTr="00A124CF">
        <w:trPr>
          <w:trHeight w:val="506"/>
        </w:trPr>
        <w:tc>
          <w:tcPr>
            <w:tcW w:w="562" w:type="dxa"/>
          </w:tcPr>
          <w:p w14:paraId="13AEBF60" w14:textId="77777777" w:rsidR="00473948" w:rsidRDefault="00473948" w:rsidP="00492416">
            <w:pPr>
              <w:pStyle w:val="TableParagraph"/>
              <w:spacing w:before="0" w:line="250" w:lineRule="exact"/>
              <w:ind w:left="105"/>
            </w:pPr>
            <w:r w:rsidRPr="00AA0F15">
              <w:t>1</w:t>
            </w:r>
            <w:r w:rsidR="00492416">
              <w:t>4</w:t>
            </w:r>
            <w:r w:rsidRPr="00AA0F15">
              <w:t>.</w:t>
            </w:r>
          </w:p>
        </w:tc>
        <w:tc>
          <w:tcPr>
            <w:tcW w:w="11089" w:type="dxa"/>
            <w:shd w:val="clear" w:color="auto" w:fill="FCFCFC"/>
          </w:tcPr>
          <w:p w14:paraId="31F07CF3" w14:textId="77777777" w:rsidR="00473948" w:rsidRDefault="00473948" w:rsidP="00E0198D">
            <w:pPr>
              <w:pStyle w:val="TableParagraph"/>
              <w:spacing w:before="2" w:line="252" w:lineRule="exact"/>
              <w:ind w:right="98"/>
              <w:jc w:val="both"/>
            </w:pPr>
            <w:r>
              <w:t>Research involving a</w:t>
            </w:r>
            <w:r w:rsidRPr="00AA0F15">
              <w:t xml:space="preserve">ccess to </w:t>
            </w:r>
            <w:r w:rsidRPr="006A7612">
              <w:t>NHS patient identifiable data or tissue</w:t>
            </w:r>
            <w:r w:rsidRPr="00AA0F15">
              <w:t>, organs or other bodily material of past and present NHS patients</w:t>
            </w:r>
            <w:r>
              <w:t xml:space="preserve">. </w:t>
            </w:r>
          </w:p>
        </w:tc>
        <w:tc>
          <w:tcPr>
            <w:tcW w:w="3685" w:type="dxa"/>
            <w:shd w:val="clear" w:color="auto" w:fill="FCFCFC"/>
          </w:tcPr>
          <w:p w14:paraId="71F63D28" w14:textId="77777777" w:rsidR="00473948" w:rsidRPr="00E0198D" w:rsidRDefault="00473948" w:rsidP="00473948">
            <w:r w:rsidRPr="00E0198D">
              <w:t xml:space="preserve">University of Sussex Sponsorship + HRA Approval </w:t>
            </w:r>
          </w:p>
        </w:tc>
      </w:tr>
      <w:tr w:rsidR="00473948" w14:paraId="49DA59A7" w14:textId="77777777" w:rsidTr="00A124CF">
        <w:trPr>
          <w:trHeight w:val="374"/>
        </w:trPr>
        <w:tc>
          <w:tcPr>
            <w:tcW w:w="562" w:type="dxa"/>
          </w:tcPr>
          <w:p w14:paraId="0A2AF42B" w14:textId="77777777" w:rsidR="00473948" w:rsidRDefault="00473948" w:rsidP="00492416">
            <w:pPr>
              <w:pStyle w:val="TableParagraph"/>
              <w:spacing w:before="0" w:line="250" w:lineRule="exact"/>
              <w:ind w:left="105"/>
            </w:pPr>
            <w:r>
              <w:t>1</w:t>
            </w:r>
            <w:r w:rsidR="00492416">
              <w:t>5</w:t>
            </w:r>
            <w:r>
              <w:t>.</w:t>
            </w:r>
          </w:p>
        </w:tc>
        <w:tc>
          <w:tcPr>
            <w:tcW w:w="11089" w:type="dxa"/>
          </w:tcPr>
          <w:p w14:paraId="2CE5D8C2" w14:textId="77777777" w:rsidR="00473948" w:rsidRPr="00214D4F" w:rsidRDefault="00473948" w:rsidP="00214D4F">
            <w:pPr>
              <w:rPr>
                <w:rFonts w:eastAsiaTheme="minorHAnsi"/>
                <w:lang w:eastAsia="en-US" w:bidi="ar-SA"/>
              </w:rPr>
            </w:pPr>
            <w:r w:rsidRPr="00214D4F">
              <w:t>Research involving individuals under the care of social</w:t>
            </w:r>
            <w:r w:rsidR="000F5702">
              <w:t>*</w:t>
            </w:r>
            <w:r w:rsidRPr="00214D4F">
              <w:t xml:space="preserve"> or community care professionals, local authorities or prisons.</w:t>
            </w:r>
            <w:r w:rsidR="00214D4F" w:rsidRPr="00214D4F">
              <w:rPr>
                <w:rFonts w:eastAsiaTheme="minorHAnsi"/>
                <w:lang w:eastAsia="en-US" w:bidi="ar-SA"/>
              </w:rPr>
              <w:t xml:space="preserve"> </w:t>
            </w:r>
            <w:r w:rsidR="000F5702">
              <w:rPr>
                <w:rFonts w:eastAsiaTheme="minorHAnsi"/>
                <w:lang w:eastAsia="en-US" w:bidi="ar-SA"/>
              </w:rPr>
              <w:t>(*</w:t>
            </w:r>
            <w:r w:rsidR="00214D4F" w:rsidRPr="00214D4F">
              <w:rPr>
                <w:rFonts w:eastAsiaTheme="minorHAnsi"/>
                <w:lang w:eastAsia="en-US" w:bidi="ar-SA"/>
              </w:rPr>
              <w:t xml:space="preserve">See:  </w:t>
            </w:r>
            <w:hyperlink r:id="rId7" w:history="1">
              <w:r w:rsidR="00214D4F" w:rsidRPr="00214D4F">
                <w:rPr>
                  <w:rFonts w:eastAsiaTheme="minorHAnsi"/>
                  <w:color w:val="0563C1" w:themeColor="hyperlink"/>
                  <w:u w:val="single"/>
                  <w:lang w:eastAsia="en-US" w:bidi="ar-SA"/>
                </w:rPr>
                <w:t xml:space="preserve">HRA Resource Pack for Social Care </w:t>
              </w:r>
            </w:hyperlink>
            <w:r w:rsidR="00214D4F" w:rsidRPr="00214D4F">
              <w:rPr>
                <w:rFonts w:eastAsiaTheme="minorHAnsi"/>
                <w:lang w:eastAsia="en-US" w:bidi="ar-SA"/>
              </w:rPr>
              <w:t xml:space="preserve"> </w:t>
            </w:r>
            <w:r w:rsidR="00214D4F">
              <w:rPr>
                <w:rFonts w:eastAsiaTheme="minorHAnsi"/>
                <w:lang w:eastAsia="en-US" w:bidi="ar-SA"/>
              </w:rPr>
              <w:t>(p110 ‘</w:t>
            </w:r>
            <w:r w:rsidR="00214D4F" w:rsidRPr="00214D4F">
              <w:rPr>
                <w:rFonts w:eastAsiaTheme="minorHAnsi"/>
                <w:lang w:eastAsia="en-US" w:bidi="ar-SA"/>
              </w:rPr>
              <w:t>Research Ethics Decisio</w:t>
            </w:r>
            <w:r w:rsidR="00214D4F">
              <w:rPr>
                <w:rFonts w:eastAsiaTheme="minorHAnsi"/>
                <w:lang w:eastAsia="en-US" w:bidi="ar-SA"/>
              </w:rPr>
              <w:t>n Tree for Social Care Research’)</w:t>
            </w:r>
          </w:p>
        </w:tc>
        <w:tc>
          <w:tcPr>
            <w:tcW w:w="3685" w:type="dxa"/>
          </w:tcPr>
          <w:p w14:paraId="08B95ABA" w14:textId="77777777" w:rsidR="00473948" w:rsidRPr="00E0198D" w:rsidRDefault="00473948" w:rsidP="00473948">
            <w:r w:rsidRPr="00E0198D">
              <w:t xml:space="preserve">University of Sussex Sponsorship + HRA Approval </w:t>
            </w:r>
          </w:p>
        </w:tc>
      </w:tr>
      <w:tr w:rsidR="00473948" w14:paraId="2395DBF8" w14:textId="77777777" w:rsidTr="00A124CF">
        <w:trPr>
          <w:trHeight w:val="374"/>
        </w:trPr>
        <w:tc>
          <w:tcPr>
            <w:tcW w:w="562" w:type="dxa"/>
          </w:tcPr>
          <w:p w14:paraId="58AE2B77" w14:textId="77777777" w:rsidR="00473948" w:rsidRDefault="00473948" w:rsidP="00492416">
            <w:pPr>
              <w:pStyle w:val="TableParagraph"/>
              <w:spacing w:before="0" w:line="250" w:lineRule="exact"/>
              <w:ind w:left="105"/>
            </w:pPr>
            <w:r>
              <w:t>1</w:t>
            </w:r>
            <w:r w:rsidR="00492416">
              <w:t>6</w:t>
            </w:r>
            <w:r>
              <w:t>.</w:t>
            </w:r>
          </w:p>
        </w:tc>
        <w:tc>
          <w:tcPr>
            <w:tcW w:w="11089" w:type="dxa"/>
          </w:tcPr>
          <w:p w14:paraId="2CC65F3B" w14:textId="77777777" w:rsidR="00473948" w:rsidRPr="00D54BFC" w:rsidRDefault="00473948" w:rsidP="00342B57">
            <w:pPr>
              <w:pStyle w:val="TableParagraph"/>
              <w:jc w:val="both"/>
              <w:rPr>
                <w:color w:val="FF0000"/>
              </w:rPr>
            </w:pPr>
            <w:r w:rsidRPr="00A272AE">
              <w:t>Research limited to the use of previously collected anonymous NHS patient data or tissue</w:t>
            </w:r>
            <w:r w:rsidR="00342B57">
              <w:t xml:space="preserve"> may or may not require NHS </w:t>
            </w:r>
            <w:r w:rsidR="00342B57" w:rsidRPr="00342B57">
              <w:t>REC approval</w:t>
            </w:r>
            <w:r w:rsidRPr="00A272AE">
              <w:t xml:space="preserve">. </w:t>
            </w:r>
            <w:r w:rsidR="00342B57">
              <w:t>Please consult the HRA’s guidance on r</w:t>
            </w:r>
            <w:r w:rsidR="00342B57" w:rsidRPr="00342B57">
              <w:t>esearch using anonymous health information</w:t>
            </w:r>
            <w:r w:rsidR="00342B57">
              <w:t xml:space="preserve">: </w:t>
            </w:r>
            <w:hyperlink r:id="rId8" w:history="1">
              <w:r w:rsidR="00342B57" w:rsidRPr="00255344">
                <w:rPr>
                  <w:rStyle w:val="Hyperlink"/>
                </w:rPr>
                <w:t>https://www.hra.nhs.uk/covid-19-research/guidance-using-patient-data/</w:t>
              </w:r>
            </w:hyperlink>
            <w:r w:rsidR="00342B57">
              <w:t xml:space="preserve"> </w:t>
            </w:r>
          </w:p>
        </w:tc>
        <w:tc>
          <w:tcPr>
            <w:tcW w:w="3685" w:type="dxa"/>
          </w:tcPr>
          <w:p w14:paraId="51401C98" w14:textId="77777777" w:rsidR="00473948" w:rsidRPr="00D54BFC" w:rsidRDefault="00473948" w:rsidP="00473948">
            <w:pPr>
              <w:rPr>
                <w:color w:val="FF0000"/>
              </w:rPr>
            </w:pPr>
            <w:r w:rsidRPr="00A31D70">
              <w:t xml:space="preserve">University of Sussex Sponsorship + HRA Approval </w:t>
            </w:r>
          </w:p>
        </w:tc>
      </w:tr>
      <w:tr w:rsidR="005F12CF" w14:paraId="2B892B60" w14:textId="77777777" w:rsidTr="00A124CF">
        <w:trPr>
          <w:trHeight w:val="374"/>
        </w:trPr>
        <w:tc>
          <w:tcPr>
            <w:tcW w:w="562" w:type="dxa"/>
          </w:tcPr>
          <w:p w14:paraId="47249063" w14:textId="77777777" w:rsidR="005F12CF" w:rsidRDefault="005F12CF" w:rsidP="00492416">
            <w:pPr>
              <w:pStyle w:val="TableParagraph"/>
              <w:spacing w:before="0" w:line="250" w:lineRule="exact"/>
              <w:ind w:left="105"/>
            </w:pPr>
            <w:r>
              <w:t>1</w:t>
            </w:r>
            <w:r w:rsidR="00492416">
              <w:t>7</w:t>
            </w:r>
            <w:r>
              <w:t>.</w:t>
            </w:r>
          </w:p>
        </w:tc>
        <w:tc>
          <w:tcPr>
            <w:tcW w:w="11089" w:type="dxa"/>
          </w:tcPr>
          <w:p w14:paraId="60C3F0E4" w14:textId="77777777" w:rsidR="005F12CF" w:rsidRPr="00955983" w:rsidRDefault="005F12CF" w:rsidP="00E0198D">
            <w:pPr>
              <w:pStyle w:val="TableParagraph"/>
              <w:jc w:val="both"/>
            </w:pPr>
            <w:r w:rsidRPr="00F97548">
              <w:t>Research involving NHS staff recruited by virtue of their professional role.</w:t>
            </w:r>
            <w:r w:rsidR="002B2391">
              <w:t xml:space="preserve"> </w:t>
            </w:r>
          </w:p>
        </w:tc>
        <w:tc>
          <w:tcPr>
            <w:tcW w:w="3685" w:type="dxa"/>
          </w:tcPr>
          <w:p w14:paraId="57FD4D3E" w14:textId="77777777" w:rsidR="005F12CF" w:rsidRPr="00E0198D" w:rsidRDefault="005F12CF" w:rsidP="00473948">
            <w:pPr>
              <w:pStyle w:val="TableParagraph"/>
            </w:pPr>
            <w:r w:rsidRPr="00E0198D">
              <w:t xml:space="preserve">University of Sussex Sponsorship </w:t>
            </w:r>
            <w:r w:rsidR="00473948" w:rsidRPr="00E0198D">
              <w:t xml:space="preserve">+ HRA Approval </w:t>
            </w:r>
            <w:r w:rsidR="00D87A80" w:rsidRPr="00E0198D">
              <w:t>(governance and legal assessment</w:t>
            </w:r>
            <w:r w:rsidR="00484FD8">
              <w:t xml:space="preserve"> only</w:t>
            </w:r>
            <w:r w:rsidR="00D87A80" w:rsidRPr="00E0198D">
              <w:t>)</w:t>
            </w:r>
          </w:p>
        </w:tc>
      </w:tr>
    </w:tbl>
    <w:p w14:paraId="4851D246" w14:textId="77777777" w:rsidR="00955983" w:rsidRDefault="00955983" w:rsidP="00955983">
      <w:pPr>
        <w:pStyle w:val="BodyText"/>
        <w:spacing w:before="7"/>
        <w:rPr>
          <w:sz w:val="20"/>
        </w:rPr>
      </w:pPr>
    </w:p>
    <w:p w14:paraId="05FC9D74" w14:textId="77777777" w:rsidR="00BD6663" w:rsidRDefault="00BD6663" w:rsidP="00BD6663">
      <w:pPr>
        <w:pStyle w:val="BodyText"/>
        <w:ind w:left="100"/>
        <w:jc w:val="both"/>
        <w:rPr>
          <w:b/>
        </w:rPr>
      </w:pPr>
    </w:p>
    <w:p w14:paraId="47310C55" w14:textId="77777777" w:rsidR="009904EB" w:rsidRPr="00BD6663" w:rsidRDefault="00BD6663" w:rsidP="00BD6663">
      <w:pPr>
        <w:pStyle w:val="BodyText"/>
        <w:ind w:left="100"/>
        <w:jc w:val="both"/>
        <w:rPr>
          <w:b/>
        </w:rPr>
      </w:pPr>
      <w:proofErr w:type="spellStart"/>
      <w:r>
        <w:rPr>
          <w:b/>
        </w:rPr>
        <w:t>No.s</w:t>
      </w:r>
      <w:proofErr w:type="spellEnd"/>
      <w:r>
        <w:rPr>
          <w:b/>
        </w:rPr>
        <w:t xml:space="preserve"> 18 – 19: </w:t>
      </w:r>
      <w:r w:rsidR="000D07AA">
        <w:rPr>
          <w:b/>
        </w:rPr>
        <w:t>A</w:t>
      </w:r>
      <w:r w:rsidRPr="00F97548">
        <w:rPr>
          <w:b/>
        </w:rPr>
        <w:t>ctivit</w:t>
      </w:r>
      <w:r>
        <w:rPr>
          <w:b/>
        </w:rPr>
        <w:t>ies</w:t>
      </w:r>
      <w:r w:rsidRPr="00F97548">
        <w:rPr>
          <w:b/>
        </w:rPr>
        <w:t xml:space="preserve"> </w:t>
      </w:r>
      <w:r>
        <w:rPr>
          <w:b/>
        </w:rPr>
        <w:t>that are exempt</w:t>
      </w:r>
      <w:r w:rsidRPr="00F97548">
        <w:rPr>
          <w:b/>
        </w:rPr>
        <w:t xml:space="preserve"> </w:t>
      </w:r>
      <w:r>
        <w:rPr>
          <w:b/>
        </w:rPr>
        <w:t xml:space="preserve">from </w:t>
      </w:r>
      <w:r w:rsidRPr="00F97548">
        <w:rPr>
          <w:b/>
        </w:rPr>
        <w:t>review</w:t>
      </w:r>
      <w:r>
        <w:rPr>
          <w:b/>
        </w:rPr>
        <w:t xml:space="preserve"> </w:t>
      </w:r>
      <w:r w:rsidRPr="00F97548">
        <w:rPr>
          <w:b/>
        </w:rPr>
        <w:t>by the University of Sussex Sponsorship Sub-Committee (SSC) and the Health Research Authority (HRA).</w:t>
      </w:r>
    </w:p>
    <w:p w14:paraId="3FB304A0" w14:textId="77777777" w:rsidR="006E52B4" w:rsidRDefault="006E52B4" w:rsidP="00955983">
      <w:pPr>
        <w:pStyle w:val="BodyText"/>
        <w:spacing w:before="7"/>
        <w:rPr>
          <w:sz w:val="20"/>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9904EB" w14:paraId="198BD337" w14:textId="77777777" w:rsidTr="00A2731D">
        <w:trPr>
          <w:trHeight w:val="494"/>
        </w:trPr>
        <w:tc>
          <w:tcPr>
            <w:tcW w:w="15401" w:type="dxa"/>
            <w:gridSpan w:val="2"/>
            <w:shd w:val="clear" w:color="auto" w:fill="F2F2F2" w:themeFill="background1" w:themeFillShade="F2"/>
          </w:tcPr>
          <w:p w14:paraId="51C54F9B" w14:textId="77777777" w:rsidR="009904EB" w:rsidRDefault="009904EB" w:rsidP="00A15750">
            <w:pPr>
              <w:pStyle w:val="TableParagraph"/>
              <w:spacing w:before="117"/>
              <w:ind w:left="136"/>
              <w:rPr>
                <w:b/>
                <w:i/>
              </w:rPr>
            </w:pPr>
            <w:r w:rsidRPr="0090667F">
              <w:rPr>
                <w:b/>
                <w:i/>
                <w:color w:val="1F4E79" w:themeColor="accent1" w:themeShade="80"/>
              </w:rPr>
              <w:t xml:space="preserve">Projects which are exempt from </w:t>
            </w:r>
            <w:r w:rsidR="008C6BB3" w:rsidRPr="002B2391">
              <w:rPr>
                <w:b/>
                <w:i/>
                <w:color w:val="1F4E79" w:themeColor="accent1" w:themeShade="80"/>
              </w:rPr>
              <w:t xml:space="preserve">by an NHS REC </w:t>
            </w:r>
            <w:r w:rsidR="008C6BB3">
              <w:rPr>
                <w:b/>
                <w:i/>
                <w:color w:val="1F4E79" w:themeColor="accent1" w:themeShade="80"/>
              </w:rPr>
              <w:t xml:space="preserve">review </w:t>
            </w:r>
            <w:r w:rsidR="008C6BB3" w:rsidRPr="002B2391">
              <w:rPr>
                <w:b/>
                <w:i/>
                <w:color w:val="1F4E79" w:themeColor="accent1" w:themeShade="80"/>
              </w:rPr>
              <w:t>or the Health Research Authority (HRA)</w:t>
            </w:r>
            <w:r w:rsidR="008C6BB3">
              <w:rPr>
                <w:b/>
                <w:i/>
                <w:color w:val="1F4E79" w:themeColor="accent1" w:themeShade="80"/>
              </w:rPr>
              <w:t xml:space="preserve"> for </w:t>
            </w:r>
            <w:r w:rsidR="008C6BB3" w:rsidRPr="00B11450">
              <w:rPr>
                <w:b/>
                <w:i/>
                <w:color w:val="1F4E79" w:themeColor="accent1" w:themeShade="80"/>
              </w:rPr>
              <w:t>governance and legal assessment</w:t>
            </w:r>
            <w:r w:rsidR="008C6BB3" w:rsidRPr="002B2391">
              <w:rPr>
                <w:b/>
                <w:i/>
                <w:color w:val="1F4E79" w:themeColor="accent1" w:themeShade="80"/>
              </w:rPr>
              <w:t>:</w:t>
            </w:r>
          </w:p>
        </w:tc>
      </w:tr>
      <w:tr w:rsidR="009904EB" w14:paraId="631333E6" w14:textId="77777777" w:rsidTr="00A15750">
        <w:trPr>
          <w:trHeight w:val="371"/>
        </w:trPr>
        <w:tc>
          <w:tcPr>
            <w:tcW w:w="562" w:type="dxa"/>
          </w:tcPr>
          <w:p w14:paraId="243299A8" w14:textId="77777777" w:rsidR="009904EB" w:rsidRDefault="00225B70" w:rsidP="00492416">
            <w:pPr>
              <w:pStyle w:val="TableParagraph"/>
              <w:spacing w:before="38"/>
            </w:pPr>
            <w:r>
              <w:t>18.</w:t>
            </w:r>
          </w:p>
        </w:tc>
        <w:tc>
          <w:tcPr>
            <w:tcW w:w="14839" w:type="dxa"/>
          </w:tcPr>
          <w:p w14:paraId="443D901B" w14:textId="77777777" w:rsidR="001D4435" w:rsidRPr="009D45AA" w:rsidRDefault="001D4435" w:rsidP="001D4435">
            <w:pPr>
              <w:pStyle w:val="TableParagraph"/>
              <w:jc w:val="both"/>
            </w:pPr>
            <w:r w:rsidRPr="009D45AA">
              <w:t xml:space="preserve">Service </w:t>
            </w:r>
            <w:r w:rsidR="00FF6521">
              <w:t>E</w:t>
            </w:r>
            <w:r w:rsidRPr="009D45AA">
              <w:t xml:space="preserve">valuations and </w:t>
            </w:r>
            <w:r w:rsidR="00FF6521">
              <w:t>C</w:t>
            </w:r>
            <w:r w:rsidRPr="009D45AA">
              <w:t xml:space="preserve">linical </w:t>
            </w:r>
            <w:r w:rsidR="00FF6521">
              <w:t>A</w:t>
            </w:r>
            <w:r w:rsidRPr="009D45AA">
              <w:t xml:space="preserve">udits </w:t>
            </w:r>
            <w:r w:rsidR="00FF6521" w:rsidRPr="00FF6521">
              <w:t xml:space="preserve">involving NHS patients </w:t>
            </w:r>
            <w:r w:rsidR="00261C97">
              <w:t>(</w:t>
            </w:r>
            <w:r w:rsidR="00FF6521">
              <w:t>f</w:t>
            </w:r>
            <w:r w:rsidR="00261C97" w:rsidRPr="00435EC7">
              <w:t xml:space="preserve">or </w:t>
            </w:r>
            <w:r w:rsidR="00261C97">
              <w:t>example</w:t>
            </w:r>
            <w:r w:rsidR="00FF6521">
              <w:t>,</w:t>
            </w:r>
            <w:r w:rsidR="00261C97">
              <w:t xml:space="preserve"> </w:t>
            </w:r>
            <w:r w:rsidR="00FF6521">
              <w:t xml:space="preserve">retrospective </w:t>
            </w:r>
            <w:r w:rsidR="00261C97" w:rsidRPr="00435EC7">
              <w:t>case note review projects</w:t>
            </w:r>
            <w:r w:rsidR="00261C97">
              <w:t>)</w:t>
            </w:r>
            <w:r w:rsidR="00FF6521" w:rsidRPr="009D45AA">
              <w:t xml:space="preserve"> do</w:t>
            </w:r>
            <w:r w:rsidR="00FF6521">
              <w:t xml:space="preserve"> not usually need ethics review</w:t>
            </w:r>
            <w:r w:rsidR="00261C97">
              <w:t>.</w:t>
            </w:r>
            <w:r w:rsidR="00261C97" w:rsidRPr="009D45AA">
              <w:t xml:space="preserve"> </w:t>
            </w:r>
            <w:r w:rsidRPr="009D45AA">
              <w:t>However, they require registration at the NHS Trust at which they are conducted. Under clinical governance NHS organisations should have ownership and control of clinical audit and service review projects involving their patients, data, staff, equipment or facilities. They should therefore be responsible for considering any ethical implications and for ensuring each project complies with relevant NHS guidance e.g. confidentiality, consent, data protection, etc. It is recommended that staff gain NHS R&amp;D management support for their proposals before proceeding. There may be a requirement to register the project in an appropriate database either with the Trust’s R&amp;D department or elsewhere within the host organisation</w:t>
            </w:r>
            <w:r w:rsidR="00FF38CB" w:rsidRPr="009D45AA">
              <w:t>,</w:t>
            </w:r>
            <w:r w:rsidRPr="009D45AA">
              <w:t xml:space="preserve"> as most NHS Trusts wish to keep a record of any service evaluations or clinical audit. An employee of the Trust should make this registration. The three levels of assurance in sign-off described below can be used as a general guideline: </w:t>
            </w:r>
          </w:p>
          <w:p w14:paraId="08CE3FFE" w14:textId="77777777" w:rsidR="00B8173F" w:rsidRPr="009D45AA" w:rsidRDefault="00B8173F" w:rsidP="00B8173F">
            <w:pPr>
              <w:pStyle w:val="TableParagraph"/>
              <w:numPr>
                <w:ilvl w:val="0"/>
                <w:numId w:val="3"/>
              </w:numPr>
              <w:jc w:val="both"/>
            </w:pPr>
            <w:r w:rsidRPr="009D45AA">
              <w:t>T</w:t>
            </w:r>
            <w:r w:rsidR="001D4435" w:rsidRPr="009D45AA">
              <w:t>o register the service review activ</w:t>
            </w:r>
            <w:r w:rsidRPr="009D45AA">
              <w:t xml:space="preserve">ity with the host organisation. </w:t>
            </w:r>
            <w:r w:rsidR="0084409D" w:rsidRPr="009D45AA">
              <w:t>(</w:t>
            </w:r>
            <w:r w:rsidRPr="009D45AA">
              <w:t>The Trust may require confirmation of the data required and likely data sources, information governance solutions – how data will be transferred and stored and who will have access to it</w:t>
            </w:r>
            <w:r w:rsidR="0084409D" w:rsidRPr="009D45AA">
              <w:t>)</w:t>
            </w:r>
            <w:r w:rsidRPr="009D45AA">
              <w:t xml:space="preserve">. </w:t>
            </w:r>
            <w:r w:rsidR="001D4435" w:rsidRPr="009D45AA">
              <w:t xml:space="preserve"> </w:t>
            </w:r>
          </w:p>
          <w:p w14:paraId="6B79A121" w14:textId="77777777" w:rsidR="00B8173F" w:rsidRPr="009D45AA" w:rsidRDefault="00B8173F" w:rsidP="00B8173F">
            <w:pPr>
              <w:pStyle w:val="TableParagraph"/>
              <w:numPr>
                <w:ilvl w:val="0"/>
                <w:numId w:val="3"/>
              </w:numPr>
              <w:jc w:val="both"/>
            </w:pPr>
            <w:r w:rsidRPr="009D45AA">
              <w:t>T</w:t>
            </w:r>
            <w:r w:rsidR="001D4435" w:rsidRPr="009D45AA">
              <w:t xml:space="preserve">o comply with any local governance processes for Service Review Activity. </w:t>
            </w:r>
          </w:p>
          <w:p w14:paraId="34274F1F" w14:textId="77777777" w:rsidR="00E36A73" w:rsidRDefault="00B8173F" w:rsidP="00B8173F">
            <w:pPr>
              <w:pStyle w:val="TableParagraph"/>
              <w:numPr>
                <w:ilvl w:val="0"/>
                <w:numId w:val="3"/>
              </w:numPr>
              <w:jc w:val="both"/>
            </w:pPr>
            <w:r w:rsidRPr="009D45AA">
              <w:t>T</w:t>
            </w:r>
            <w:r w:rsidR="001D4435" w:rsidRPr="009D45AA">
              <w:t>o provide prospective publishers and educational establishments, if requ</w:t>
            </w:r>
            <w:r w:rsidR="0010561C">
              <w:t>ired, with evidence that ethics</w:t>
            </w:r>
            <w:r w:rsidR="001D4435" w:rsidRPr="009D45AA">
              <w:t xml:space="preserve"> review has been achieved or provide evidence that a particular project has been classified locally as service </w:t>
            </w:r>
            <w:r w:rsidR="0010561C">
              <w:t>review and not requiring ethics</w:t>
            </w:r>
            <w:r w:rsidR="001D4435" w:rsidRPr="009D45AA">
              <w:t xml:space="preserve"> review.</w:t>
            </w:r>
          </w:p>
        </w:tc>
      </w:tr>
      <w:tr w:rsidR="006E52B4" w14:paraId="17470B0D" w14:textId="77777777" w:rsidTr="00A15750">
        <w:trPr>
          <w:trHeight w:val="371"/>
        </w:trPr>
        <w:tc>
          <w:tcPr>
            <w:tcW w:w="562" w:type="dxa"/>
          </w:tcPr>
          <w:p w14:paraId="72BADE03" w14:textId="77777777" w:rsidR="006E52B4" w:rsidRDefault="006E52B4" w:rsidP="006E52B4">
            <w:pPr>
              <w:pStyle w:val="TableParagraph"/>
              <w:spacing w:before="38"/>
            </w:pPr>
            <w:r>
              <w:lastRenderedPageBreak/>
              <w:t>19.</w:t>
            </w:r>
          </w:p>
        </w:tc>
        <w:tc>
          <w:tcPr>
            <w:tcW w:w="14839" w:type="dxa"/>
          </w:tcPr>
          <w:p w14:paraId="05E402AB" w14:textId="77777777" w:rsidR="006E52B4" w:rsidRPr="00435EC7" w:rsidRDefault="006E52B4" w:rsidP="00261C97">
            <w:pPr>
              <w:pStyle w:val="TableParagraph"/>
              <w:jc w:val="both"/>
            </w:pPr>
            <w:r w:rsidRPr="00A272AE">
              <w:t xml:space="preserve">Research limited to the use of previously collected anonymous NHS patient data </w:t>
            </w:r>
            <w:r>
              <w:t xml:space="preserve">may not require NHS </w:t>
            </w:r>
            <w:r w:rsidRPr="00342B57">
              <w:t>REC approval</w:t>
            </w:r>
            <w:r w:rsidR="00435EC7" w:rsidRPr="00435EC7">
              <w:t>. However, these projects still need to be registered with the R&amp;D Office and reviewed for R&amp;D approval.</w:t>
            </w:r>
            <w:r w:rsidR="00435EC7">
              <w:t xml:space="preserve"> </w:t>
            </w:r>
            <w:r w:rsidR="00BC2483" w:rsidRPr="00BC2483">
              <w:t>During the review process the researcher will be asked to complete the online HRA tools to confirm the project does not require NHS REC approval.</w:t>
            </w:r>
            <w:r w:rsidR="00BC2483">
              <w:t xml:space="preserve"> </w:t>
            </w:r>
            <w:r>
              <w:t>Please consult the HRA’s guidance on r</w:t>
            </w:r>
            <w:r w:rsidRPr="00342B57">
              <w:t>esearch using anonymous health information</w:t>
            </w:r>
            <w:r>
              <w:t xml:space="preserve">: </w:t>
            </w:r>
            <w:hyperlink r:id="rId9" w:history="1">
              <w:r w:rsidRPr="00255344">
                <w:rPr>
                  <w:rStyle w:val="Hyperlink"/>
                </w:rPr>
                <w:t>https://www.hra.nhs.uk/covid-19-research/guidance-using-patient-data/</w:t>
              </w:r>
            </w:hyperlink>
            <w:r>
              <w:t xml:space="preserve"> </w:t>
            </w:r>
          </w:p>
        </w:tc>
      </w:tr>
    </w:tbl>
    <w:p w14:paraId="1B7FBCA7" w14:textId="77777777" w:rsidR="009005BF" w:rsidRDefault="009005BF" w:rsidP="00955983"/>
    <w:p w14:paraId="0E751EB9" w14:textId="77777777" w:rsidR="00A95A51" w:rsidRDefault="00A95A51" w:rsidP="00955983"/>
    <w:p w14:paraId="3E2860B2" w14:textId="77777777" w:rsidR="00A95A51" w:rsidRPr="00A95A51" w:rsidRDefault="00A95A51" w:rsidP="00A95A51">
      <w:pPr>
        <w:widowControl/>
        <w:autoSpaceDE/>
        <w:autoSpaceDN/>
        <w:spacing w:after="160" w:line="259" w:lineRule="auto"/>
        <w:jc w:val="both"/>
        <w:rPr>
          <w:rFonts w:asciiTheme="minorHAnsi" w:eastAsiaTheme="minorHAnsi" w:hAnsiTheme="minorHAnsi" w:cstheme="minorHAnsi"/>
          <w:lang w:val="en-US" w:eastAsia="en-US" w:bidi="ar-SA"/>
        </w:rPr>
      </w:pPr>
      <w:r w:rsidRPr="00A95A51">
        <w:rPr>
          <w:rFonts w:asciiTheme="minorHAnsi" w:eastAsiaTheme="minorHAnsi" w:hAnsiTheme="minorHAnsi" w:cstheme="minorHAnsi"/>
          <w:lang w:val="en-US" w:eastAsia="en-US" w:bidi="ar-SA"/>
        </w:rPr>
        <w:t xml:space="preserve">If you have </w:t>
      </w:r>
      <w:r w:rsidR="00944AB1" w:rsidRPr="00944AB1">
        <w:rPr>
          <w:rFonts w:asciiTheme="minorHAnsi" w:eastAsiaTheme="minorHAnsi" w:hAnsiTheme="minorHAnsi" w:cstheme="minorHAnsi"/>
          <w:lang w:val="en-US" w:eastAsia="en-US" w:bidi="ar-SA"/>
        </w:rPr>
        <w:t>doubts or uncertainties</w:t>
      </w:r>
      <w:r w:rsidR="00944AB1">
        <w:rPr>
          <w:rFonts w:asciiTheme="minorHAnsi" w:eastAsiaTheme="minorHAnsi" w:hAnsiTheme="minorHAnsi" w:cstheme="minorHAnsi"/>
          <w:lang w:val="en-US" w:eastAsia="en-US" w:bidi="ar-SA"/>
        </w:rPr>
        <w:t xml:space="preserve"> </w:t>
      </w:r>
      <w:r w:rsidRPr="00A95A51">
        <w:rPr>
          <w:rFonts w:asciiTheme="minorHAnsi" w:eastAsiaTheme="minorHAnsi" w:hAnsiTheme="minorHAnsi" w:cstheme="minorHAnsi"/>
          <w:lang w:val="en-US" w:eastAsia="en-US" w:bidi="ar-SA"/>
        </w:rPr>
        <w:t xml:space="preserve">concerning your project further advice may also be sought from Caroline Brooks, BSMS Research Ethics, Integrity and Governance Administrator: </w:t>
      </w:r>
      <w:hyperlink r:id="rId10" w:history="1">
        <w:r w:rsidRPr="00A95A51">
          <w:rPr>
            <w:rFonts w:asciiTheme="minorHAnsi" w:eastAsiaTheme="minorHAnsi" w:hAnsiTheme="minorHAnsi" w:cstheme="minorHAnsi"/>
            <w:color w:val="0563C1" w:themeColor="hyperlink"/>
            <w:u w:val="single"/>
            <w:lang w:val="en-US" w:eastAsia="en-US" w:bidi="ar-SA"/>
          </w:rPr>
          <w:t>c.e.brooks@bsms.ac.uk</w:t>
        </w:r>
      </w:hyperlink>
      <w:r w:rsidRPr="00A95A51">
        <w:rPr>
          <w:rFonts w:asciiTheme="minorHAnsi" w:eastAsiaTheme="minorHAnsi" w:hAnsiTheme="minorHAnsi" w:cstheme="minorHAnsi"/>
          <w:lang w:val="en-US" w:eastAsia="en-US" w:bidi="ar-SA"/>
        </w:rPr>
        <w:t xml:space="preserve">  </w:t>
      </w:r>
    </w:p>
    <w:p w14:paraId="2E125D10" w14:textId="77777777" w:rsidR="00A95A51" w:rsidRDefault="00A95A51" w:rsidP="00955983"/>
    <w:sectPr w:rsidR="00A95A51" w:rsidSect="009559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029"/>
    <w:multiLevelType w:val="hybridMultilevel"/>
    <w:tmpl w:val="ABFC7AA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1D24D07"/>
    <w:multiLevelType w:val="hybridMultilevel"/>
    <w:tmpl w:val="03AE8D10"/>
    <w:lvl w:ilvl="0" w:tplc="79A6409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3C4867"/>
    <w:multiLevelType w:val="hybridMultilevel"/>
    <w:tmpl w:val="D4AC81E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num w:numId="1" w16cid:durableId="826896929">
    <w:abstractNumId w:val="0"/>
  </w:num>
  <w:num w:numId="2" w16cid:durableId="982734138">
    <w:abstractNumId w:val="1"/>
  </w:num>
  <w:num w:numId="3" w16cid:durableId="8673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3"/>
    <w:rsid w:val="0000340A"/>
    <w:rsid w:val="00011F36"/>
    <w:rsid w:val="000353AD"/>
    <w:rsid w:val="00046242"/>
    <w:rsid w:val="000476DF"/>
    <w:rsid w:val="00051466"/>
    <w:rsid w:val="00055CCA"/>
    <w:rsid w:val="00064995"/>
    <w:rsid w:val="00080433"/>
    <w:rsid w:val="000B4B69"/>
    <w:rsid w:val="000C2120"/>
    <w:rsid w:val="000D07AA"/>
    <w:rsid w:val="000E1471"/>
    <w:rsid w:val="000E199B"/>
    <w:rsid w:val="000E5544"/>
    <w:rsid w:val="000E64E1"/>
    <w:rsid w:val="000F5702"/>
    <w:rsid w:val="000F717E"/>
    <w:rsid w:val="000F7EEF"/>
    <w:rsid w:val="0010561C"/>
    <w:rsid w:val="00115042"/>
    <w:rsid w:val="001236FB"/>
    <w:rsid w:val="00125409"/>
    <w:rsid w:val="00126434"/>
    <w:rsid w:val="001337D9"/>
    <w:rsid w:val="00151D3B"/>
    <w:rsid w:val="00164F9B"/>
    <w:rsid w:val="0018083F"/>
    <w:rsid w:val="001C65FA"/>
    <w:rsid w:val="001D2574"/>
    <w:rsid w:val="001D4435"/>
    <w:rsid w:val="001F1016"/>
    <w:rsid w:val="001F2256"/>
    <w:rsid w:val="00214D4F"/>
    <w:rsid w:val="00220106"/>
    <w:rsid w:val="00221EED"/>
    <w:rsid w:val="00225B70"/>
    <w:rsid w:val="00230F50"/>
    <w:rsid w:val="0023178C"/>
    <w:rsid w:val="00232C2C"/>
    <w:rsid w:val="0024135C"/>
    <w:rsid w:val="00242B87"/>
    <w:rsid w:val="0024323E"/>
    <w:rsid w:val="002466DE"/>
    <w:rsid w:val="0025209D"/>
    <w:rsid w:val="00261C97"/>
    <w:rsid w:val="0027287D"/>
    <w:rsid w:val="002A7B31"/>
    <w:rsid w:val="002B2391"/>
    <w:rsid w:val="002E6EBA"/>
    <w:rsid w:val="00300453"/>
    <w:rsid w:val="003045D3"/>
    <w:rsid w:val="00320644"/>
    <w:rsid w:val="00331945"/>
    <w:rsid w:val="003329C9"/>
    <w:rsid w:val="0034294C"/>
    <w:rsid w:val="00342B57"/>
    <w:rsid w:val="003503C1"/>
    <w:rsid w:val="00361AA6"/>
    <w:rsid w:val="003657C8"/>
    <w:rsid w:val="00365E3B"/>
    <w:rsid w:val="003668EA"/>
    <w:rsid w:val="00370728"/>
    <w:rsid w:val="003B08D4"/>
    <w:rsid w:val="003B15A0"/>
    <w:rsid w:val="003C3386"/>
    <w:rsid w:val="003C4117"/>
    <w:rsid w:val="003D69A3"/>
    <w:rsid w:val="003E3BAB"/>
    <w:rsid w:val="003F35F6"/>
    <w:rsid w:val="00410E8F"/>
    <w:rsid w:val="00435EC7"/>
    <w:rsid w:val="004570D7"/>
    <w:rsid w:val="00473948"/>
    <w:rsid w:val="0047606C"/>
    <w:rsid w:val="0048254E"/>
    <w:rsid w:val="00484FD8"/>
    <w:rsid w:val="00492416"/>
    <w:rsid w:val="004A1BBD"/>
    <w:rsid w:val="004C78CE"/>
    <w:rsid w:val="004D3BE0"/>
    <w:rsid w:val="004D4014"/>
    <w:rsid w:val="004E6A31"/>
    <w:rsid w:val="004F6183"/>
    <w:rsid w:val="00501E60"/>
    <w:rsid w:val="00505E41"/>
    <w:rsid w:val="00512118"/>
    <w:rsid w:val="005135F7"/>
    <w:rsid w:val="0051730D"/>
    <w:rsid w:val="005334A7"/>
    <w:rsid w:val="00540C49"/>
    <w:rsid w:val="00540C5C"/>
    <w:rsid w:val="00542AC5"/>
    <w:rsid w:val="005466ED"/>
    <w:rsid w:val="0055367B"/>
    <w:rsid w:val="00553E1E"/>
    <w:rsid w:val="005556F9"/>
    <w:rsid w:val="00571E0A"/>
    <w:rsid w:val="00576A66"/>
    <w:rsid w:val="005855A6"/>
    <w:rsid w:val="00595562"/>
    <w:rsid w:val="005B5188"/>
    <w:rsid w:val="005C31EB"/>
    <w:rsid w:val="005D4F0D"/>
    <w:rsid w:val="005F036B"/>
    <w:rsid w:val="005F12CF"/>
    <w:rsid w:val="006000A5"/>
    <w:rsid w:val="006200E6"/>
    <w:rsid w:val="00621BA6"/>
    <w:rsid w:val="006364AF"/>
    <w:rsid w:val="006664F5"/>
    <w:rsid w:val="00674D49"/>
    <w:rsid w:val="006820D0"/>
    <w:rsid w:val="006841C0"/>
    <w:rsid w:val="006A7612"/>
    <w:rsid w:val="006B7F9A"/>
    <w:rsid w:val="006C3DCC"/>
    <w:rsid w:val="006D382B"/>
    <w:rsid w:val="006E4331"/>
    <w:rsid w:val="006E52B4"/>
    <w:rsid w:val="006F353C"/>
    <w:rsid w:val="00700709"/>
    <w:rsid w:val="00701B66"/>
    <w:rsid w:val="00705BD6"/>
    <w:rsid w:val="00711B6E"/>
    <w:rsid w:val="00715B0F"/>
    <w:rsid w:val="007223B5"/>
    <w:rsid w:val="00725C11"/>
    <w:rsid w:val="007404E6"/>
    <w:rsid w:val="00741AC5"/>
    <w:rsid w:val="007448A4"/>
    <w:rsid w:val="0079468E"/>
    <w:rsid w:val="00794853"/>
    <w:rsid w:val="007A0B76"/>
    <w:rsid w:val="007B317E"/>
    <w:rsid w:val="007B3782"/>
    <w:rsid w:val="007B75EA"/>
    <w:rsid w:val="007E0F72"/>
    <w:rsid w:val="00800D11"/>
    <w:rsid w:val="008022F4"/>
    <w:rsid w:val="0081275A"/>
    <w:rsid w:val="00815A50"/>
    <w:rsid w:val="00822523"/>
    <w:rsid w:val="0084409D"/>
    <w:rsid w:val="00870A44"/>
    <w:rsid w:val="008774C1"/>
    <w:rsid w:val="00877557"/>
    <w:rsid w:val="00881CA7"/>
    <w:rsid w:val="008B1BDB"/>
    <w:rsid w:val="008C6BB3"/>
    <w:rsid w:val="008E2B6A"/>
    <w:rsid w:val="008F0BEA"/>
    <w:rsid w:val="009005BF"/>
    <w:rsid w:val="0090667F"/>
    <w:rsid w:val="009173A7"/>
    <w:rsid w:val="00924F39"/>
    <w:rsid w:val="00933EB5"/>
    <w:rsid w:val="00944AB1"/>
    <w:rsid w:val="00946C16"/>
    <w:rsid w:val="00955983"/>
    <w:rsid w:val="00962F97"/>
    <w:rsid w:val="00984637"/>
    <w:rsid w:val="009904EB"/>
    <w:rsid w:val="009B5906"/>
    <w:rsid w:val="009B69F6"/>
    <w:rsid w:val="009B7E5B"/>
    <w:rsid w:val="009C3A50"/>
    <w:rsid w:val="009D45AA"/>
    <w:rsid w:val="009D56A8"/>
    <w:rsid w:val="009E1AB2"/>
    <w:rsid w:val="009F094C"/>
    <w:rsid w:val="00A0683E"/>
    <w:rsid w:val="00A124CF"/>
    <w:rsid w:val="00A22AD6"/>
    <w:rsid w:val="00A25592"/>
    <w:rsid w:val="00A272AE"/>
    <w:rsid w:val="00A2731D"/>
    <w:rsid w:val="00A31D70"/>
    <w:rsid w:val="00A37562"/>
    <w:rsid w:val="00A414FA"/>
    <w:rsid w:val="00A50821"/>
    <w:rsid w:val="00A65777"/>
    <w:rsid w:val="00A75729"/>
    <w:rsid w:val="00A87B22"/>
    <w:rsid w:val="00A95A51"/>
    <w:rsid w:val="00AA0F15"/>
    <w:rsid w:val="00AA1CD6"/>
    <w:rsid w:val="00AA7BE8"/>
    <w:rsid w:val="00AD0135"/>
    <w:rsid w:val="00AD0CBB"/>
    <w:rsid w:val="00AE0B57"/>
    <w:rsid w:val="00B05231"/>
    <w:rsid w:val="00B05337"/>
    <w:rsid w:val="00B11450"/>
    <w:rsid w:val="00B26835"/>
    <w:rsid w:val="00B31A59"/>
    <w:rsid w:val="00B36325"/>
    <w:rsid w:val="00B45F48"/>
    <w:rsid w:val="00B574BF"/>
    <w:rsid w:val="00B62B8E"/>
    <w:rsid w:val="00B72EF4"/>
    <w:rsid w:val="00B77318"/>
    <w:rsid w:val="00B8173F"/>
    <w:rsid w:val="00B91E48"/>
    <w:rsid w:val="00BA7E20"/>
    <w:rsid w:val="00BB435C"/>
    <w:rsid w:val="00BB4B85"/>
    <w:rsid w:val="00BC1C46"/>
    <w:rsid w:val="00BC1D3B"/>
    <w:rsid w:val="00BC2483"/>
    <w:rsid w:val="00BC3727"/>
    <w:rsid w:val="00BD6663"/>
    <w:rsid w:val="00C01475"/>
    <w:rsid w:val="00C2451B"/>
    <w:rsid w:val="00C319D1"/>
    <w:rsid w:val="00C35022"/>
    <w:rsid w:val="00C368CC"/>
    <w:rsid w:val="00C37FBB"/>
    <w:rsid w:val="00C477B8"/>
    <w:rsid w:val="00C674AE"/>
    <w:rsid w:val="00C730F7"/>
    <w:rsid w:val="00C91188"/>
    <w:rsid w:val="00CC14E2"/>
    <w:rsid w:val="00CD0895"/>
    <w:rsid w:val="00CD75BB"/>
    <w:rsid w:val="00CE4380"/>
    <w:rsid w:val="00CE4977"/>
    <w:rsid w:val="00CF4588"/>
    <w:rsid w:val="00D0285A"/>
    <w:rsid w:val="00D1138B"/>
    <w:rsid w:val="00D54BFC"/>
    <w:rsid w:val="00D81861"/>
    <w:rsid w:val="00D87254"/>
    <w:rsid w:val="00D87A80"/>
    <w:rsid w:val="00D969B1"/>
    <w:rsid w:val="00DD0FF5"/>
    <w:rsid w:val="00DE2192"/>
    <w:rsid w:val="00DE35CC"/>
    <w:rsid w:val="00DE41E1"/>
    <w:rsid w:val="00DF4C3C"/>
    <w:rsid w:val="00DF5E69"/>
    <w:rsid w:val="00E00256"/>
    <w:rsid w:val="00E0198D"/>
    <w:rsid w:val="00E36A73"/>
    <w:rsid w:val="00E41872"/>
    <w:rsid w:val="00E432D7"/>
    <w:rsid w:val="00E66A4E"/>
    <w:rsid w:val="00E71F7B"/>
    <w:rsid w:val="00E83795"/>
    <w:rsid w:val="00E83AE0"/>
    <w:rsid w:val="00E9717B"/>
    <w:rsid w:val="00E9734C"/>
    <w:rsid w:val="00EA3290"/>
    <w:rsid w:val="00EC1978"/>
    <w:rsid w:val="00ED0796"/>
    <w:rsid w:val="00ED2D03"/>
    <w:rsid w:val="00ED3505"/>
    <w:rsid w:val="00F03ECD"/>
    <w:rsid w:val="00F04D38"/>
    <w:rsid w:val="00F24CC5"/>
    <w:rsid w:val="00F42E83"/>
    <w:rsid w:val="00F5624A"/>
    <w:rsid w:val="00F81F4B"/>
    <w:rsid w:val="00F97548"/>
    <w:rsid w:val="00FB62D7"/>
    <w:rsid w:val="00FB6477"/>
    <w:rsid w:val="00FB6664"/>
    <w:rsid w:val="00FC6755"/>
    <w:rsid w:val="00FD1A32"/>
    <w:rsid w:val="00FD7D89"/>
    <w:rsid w:val="00FE11C0"/>
    <w:rsid w:val="00FE2E2D"/>
    <w:rsid w:val="00FE5B68"/>
    <w:rsid w:val="00FF38CB"/>
    <w:rsid w:val="00FF6521"/>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E486"/>
  <w15:chartTrackingRefBased/>
  <w15:docId w15:val="{7EC307A4-4C87-44B7-AD90-634CB863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983"/>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5983"/>
  </w:style>
  <w:style w:type="character" w:customStyle="1" w:styleId="BodyTextChar">
    <w:name w:val="Body Text Char"/>
    <w:basedOn w:val="DefaultParagraphFont"/>
    <w:link w:val="BodyText"/>
    <w:uiPriority w:val="1"/>
    <w:rsid w:val="00955983"/>
    <w:rPr>
      <w:rFonts w:ascii="Arial" w:eastAsia="Arial" w:hAnsi="Arial" w:cs="Arial"/>
      <w:lang w:eastAsia="en-GB" w:bidi="en-GB"/>
    </w:rPr>
  </w:style>
  <w:style w:type="paragraph" w:customStyle="1" w:styleId="TableParagraph">
    <w:name w:val="Table Paragraph"/>
    <w:basedOn w:val="Normal"/>
    <w:uiPriority w:val="1"/>
    <w:qFormat/>
    <w:rsid w:val="00955983"/>
    <w:pPr>
      <w:spacing w:before="57"/>
      <w:ind w:left="107"/>
    </w:pPr>
  </w:style>
  <w:style w:type="paragraph" w:styleId="ListParagraph">
    <w:name w:val="List Paragraph"/>
    <w:basedOn w:val="Normal"/>
    <w:uiPriority w:val="34"/>
    <w:qFormat/>
    <w:rsid w:val="00AA1CD6"/>
    <w:pPr>
      <w:widowControl/>
      <w:autoSpaceDE/>
      <w:autoSpaceDN/>
      <w:spacing w:after="160" w:line="252" w:lineRule="auto"/>
      <w:ind w:left="720"/>
      <w:contextualSpacing/>
    </w:pPr>
    <w:rPr>
      <w:rFonts w:ascii="Calibri" w:eastAsiaTheme="minorHAnsi" w:hAnsi="Calibri" w:cs="Calibri"/>
      <w:lang w:eastAsia="en-US" w:bidi="ar-SA"/>
    </w:rPr>
  </w:style>
  <w:style w:type="character" w:styleId="Hyperlink">
    <w:name w:val="Hyperlink"/>
    <w:basedOn w:val="DefaultParagraphFont"/>
    <w:uiPriority w:val="99"/>
    <w:unhideWhenUsed/>
    <w:rsid w:val="00342B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458">
      <w:bodyDiv w:val="1"/>
      <w:marLeft w:val="0"/>
      <w:marRight w:val="0"/>
      <w:marTop w:val="0"/>
      <w:marBottom w:val="0"/>
      <w:divBdr>
        <w:top w:val="none" w:sz="0" w:space="0" w:color="auto"/>
        <w:left w:val="none" w:sz="0" w:space="0" w:color="auto"/>
        <w:bottom w:val="none" w:sz="0" w:space="0" w:color="auto"/>
        <w:right w:val="none" w:sz="0" w:space="0" w:color="auto"/>
      </w:divBdr>
    </w:div>
    <w:div w:id="331375398">
      <w:bodyDiv w:val="1"/>
      <w:marLeft w:val="0"/>
      <w:marRight w:val="0"/>
      <w:marTop w:val="0"/>
      <w:marBottom w:val="0"/>
      <w:divBdr>
        <w:top w:val="none" w:sz="0" w:space="0" w:color="auto"/>
        <w:left w:val="none" w:sz="0" w:space="0" w:color="auto"/>
        <w:bottom w:val="none" w:sz="0" w:space="0" w:color="auto"/>
        <w:right w:val="none" w:sz="0" w:space="0" w:color="auto"/>
      </w:divBdr>
    </w:div>
    <w:div w:id="533084249">
      <w:bodyDiv w:val="1"/>
      <w:marLeft w:val="0"/>
      <w:marRight w:val="0"/>
      <w:marTop w:val="0"/>
      <w:marBottom w:val="0"/>
      <w:divBdr>
        <w:top w:val="none" w:sz="0" w:space="0" w:color="auto"/>
        <w:left w:val="none" w:sz="0" w:space="0" w:color="auto"/>
        <w:bottom w:val="none" w:sz="0" w:space="0" w:color="auto"/>
        <w:right w:val="none" w:sz="0" w:space="0" w:color="auto"/>
      </w:divBdr>
    </w:div>
    <w:div w:id="7569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covid-19-research/guidance-using-patient-data/" TargetMode="External"/><Relationship Id="rId3" Type="http://schemas.openxmlformats.org/officeDocument/2006/relationships/settings" Target="settings.xml"/><Relationship Id="rId7" Type="http://schemas.openxmlformats.org/officeDocument/2006/relationships/hyperlink" Target="https://s3.eu-west-2.amazonaws.com/www.hra.nhs.uk/media/documents/research-governance-framework-resour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eu-west-2.amazonaws.com/www.hra.nhs.uk/media/documents/research-governance-framework-resourc.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e.brooks@bsms.ac.uk" TargetMode="External"/><Relationship Id="rId4" Type="http://schemas.openxmlformats.org/officeDocument/2006/relationships/webSettings" Target="webSettings.xml"/><Relationship Id="rId9" Type="http://schemas.openxmlformats.org/officeDocument/2006/relationships/hyperlink" Target="https://www.hra.nhs.uk/covid-19-research/guidance-using-patien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Matt Bemment</cp:lastModifiedBy>
  <cp:revision>3</cp:revision>
  <dcterms:created xsi:type="dcterms:W3CDTF">2022-02-08T12:22:00Z</dcterms:created>
  <dcterms:modified xsi:type="dcterms:W3CDTF">2022-06-13T14:00:00Z</dcterms:modified>
</cp:coreProperties>
</file>