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69" w:type="dxa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3544"/>
        <w:gridCol w:w="2268"/>
        <w:gridCol w:w="2041"/>
      </w:tblGrid>
      <w:tr w:rsidR="00DC2584" w:rsidRPr="00D94A84" w14:paraId="037377CB" w14:textId="0F5547F5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51ECD" w14:textId="77777777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Study 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DB5420" w14:textId="77777777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Description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370534" w14:textId="7978D258" w:rsidR="00DC2584" w:rsidRPr="00D94A84" w:rsidRDefault="00C75BB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Sample size and power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F4A7E" w14:textId="77777777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Example uses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69C33A" w14:textId="50B0ADB2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Appropriate analyses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64909" w14:textId="7EA4D3E3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Re</w:t>
            </w:r>
            <w:r w:rsidR="00F644C1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levant protocol/reporting guidelines</w:t>
            </w:r>
          </w:p>
        </w:tc>
      </w:tr>
      <w:tr w:rsidR="00DC2584" w:rsidRPr="00D94A84" w14:paraId="35DBB9B9" w14:textId="4D1CBF9A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7538D" w14:textId="77777777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Feasibility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9E4" w14:textId="36911C55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 feasibility study is used to inform whether it is possible to conduct a larger future study. It should aim to resolve the key uncertainties in the design and conduct of a future such study.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4D6" w14:textId="714C69ED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No formal sample size calculation but sample size should be justified in terms of the feasibility objectives e.g. estimating the proportion retained to final follow up to a specified level of precision.</w:t>
            </w:r>
          </w:p>
          <w:p w14:paraId="68003B75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B562912" w14:textId="506B859D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Typically</w:t>
            </w:r>
            <w:proofErr w:type="gramEnd"/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tens of participants depending on objectives.</w:t>
            </w:r>
          </w:p>
          <w:p w14:paraId="540B6068" w14:textId="6BD3CF44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Could be smaller for less variable populations, e.g. model organisms).</w:t>
            </w:r>
          </w:p>
          <w:p w14:paraId="4CD5758C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6E02A86E" w14:textId="33728E9A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489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Testing processes (e.g. recruitment methods).</w:t>
            </w:r>
          </w:p>
          <w:p w14:paraId="035D7049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34932500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Assessing multiple possible outcomes in search of a good primary outcome for a full study.</w:t>
            </w:r>
          </w:p>
          <w:p w14:paraId="5AE1578B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32A96561" w14:textId="516E60F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To collect initial data to inform sample size calculations for future studies.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14F" w14:textId="5921F76B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</w:t>
            </w:r>
            <w:r w:rsidR="00C75BB2"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EE9" w14:textId="48251005" w:rsidR="00DC2584" w:rsidRPr="00051C8C" w:rsidRDefault="00F644C1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Clinical trials: </w:t>
            </w:r>
            <w:hyperlink r:id="rId5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CONSORT Extension for Pilot and Feasibility trials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</w:tc>
        <w:bookmarkStart w:id="0" w:name="_GoBack"/>
        <w:bookmarkEnd w:id="0"/>
      </w:tr>
      <w:tr w:rsidR="00DC2584" w:rsidRPr="00D94A84" w14:paraId="7C1920B7" w14:textId="11B323ED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0C69F" w14:textId="77777777" w:rsidR="00DC2584" w:rsidRPr="00D94A84" w:rsidRDefault="00DC258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Pilot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A87E" w14:textId="3BA18D34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A small-scale version of a planned larger study conducted before the larger study to ensure the planned protocol is viable.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795" w14:textId="4050D4A6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No formal sample size calculation but, as above, the selected sample size needs to be justified.</w:t>
            </w:r>
          </w:p>
          <w:p w14:paraId="140B0ECC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38703726" w14:textId="2A8D7875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Typically</w:t>
            </w:r>
            <w:proofErr w:type="gramEnd"/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tens of participants depending on objectives.</w:t>
            </w:r>
          </w:p>
          <w:p w14:paraId="44008F1C" w14:textId="77777777" w:rsidR="00DC2584" w:rsidRPr="00051C8C" w:rsidRDefault="00DC2584" w:rsidP="004F3868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Could be smaller for less variable populations, e.g. model organisms).</w:t>
            </w:r>
          </w:p>
          <w:p w14:paraId="10CC9E60" w14:textId="05736ED9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FFC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Testing processes (e.g. the planned recruitment method).</w:t>
            </w:r>
          </w:p>
          <w:p w14:paraId="1F74787C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523F00E4" w14:textId="6629DEC1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Checking that the selected primary outcome can be collected as expected and is an appropriate measure for the study population (e.g. has no obvious floor or celling effects).</w:t>
            </w:r>
          </w:p>
          <w:p w14:paraId="56120E7B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0DC274DB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Checking that attrition/loss to follow up has not been underestimated. </w:t>
            </w:r>
          </w:p>
          <w:p w14:paraId="3D0F85A0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1B41B08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To check assumptions made for sample size calculations for future studies are realistic and adequately precise.</w:t>
            </w:r>
          </w:p>
          <w:p w14:paraId="69837333" w14:textId="77777777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56543D66" w14:textId="77777777" w:rsidR="00DC2584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Pilots for clinical trials should follow the CONSORT extension for pilot and feasibility studies.</w:t>
            </w:r>
          </w:p>
          <w:p w14:paraId="1D0248FB" w14:textId="77777777" w:rsidR="00051C8C" w:rsidRDefault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21AA43CB" w14:textId="77777777" w:rsidR="00051C8C" w:rsidRDefault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809A5CF" w14:textId="1BF78C67" w:rsidR="00051C8C" w:rsidRPr="00051C8C" w:rsidRDefault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F581" w14:textId="545C6849" w:rsidR="00DC2584" w:rsidRPr="00051C8C" w:rsidRDefault="00DC2584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86D" w14:textId="13312776" w:rsidR="00DC2584" w:rsidRPr="00051C8C" w:rsidRDefault="00F644C1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Clinical trials: </w:t>
            </w:r>
            <w:hyperlink r:id="rId6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CONSORT Extension for Pilot and Feasibility trials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051C8C" w:rsidRPr="00D94A84" w14:paraId="1241C6F0" w14:textId="77777777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A9D7E" w14:textId="333DF3D5" w:rsidR="00051C8C" w:rsidRPr="00D94A84" w:rsidRDefault="00051C8C" w:rsidP="00051C8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lastRenderedPageBreak/>
              <w:t>Exploratory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253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 study without pre-defined outcomes, analyses or sample size.</w:t>
            </w:r>
          </w:p>
          <w:p w14:paraId="63262316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4D8B421" w14:textId="491CE346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Or studies technically powered to observe a difference between groups, but with insufficient participants to allow analysis models with appropriate complexity to be fitted.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DED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Indicative sample size calculations may be performed.</w:t>
            </w:r>
          </w:p>
          <w:p w14:paraId="0419C3B7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8832929" w14:textId="6B75E545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Power for given situations, or detectable effect size may be considered. (e.g. 40 participants would provide Y power to detect an effect size of X).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533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Situations necessitating compromise between study design and cost/availability of participants.</w:t>
            </w:r>
          </w:p>
          <w:p w14:paraId="2DA7B631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16054647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Small studies technically powered to detect a stated effect size but with insufficient numbers to allow appropriately complex modelling (e.g. a study comparing disease occurrence between two groups but without sufficient numbers to include important demographic characteristics in the modelling).</w:t>
            </w:r>
          </w:p>
          <w:p w14:paraId="6365C86A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6ACED532" w14:textId="52C6744E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Studies where many outcomes are being measured (e.g. gene expression studies) and it is not clear how many will show differences between groups.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076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intervals.</w:t>
            </w:r>
          </w:p>
          <w:p w14:paraId="27AC2677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1BD5CE0F" w14:textId="124C7488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Hypothesis testing within simple models, with careful consideration of the high risks of type I and type II errors, and the subsequent risk of biased conclusions.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8B1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051C8C" w:rsidRPr="00D94A84" w14:paraId="61E6D0F2" w14:textId="6B2E0274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8F7ED" w14:textId="627E97B3" w:rsidR="00051C8C" w:rsidRPr="00D94A84" w:rsidRDefault="00051C8C" w:rsidP="00051C8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Full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 scale</w:t>
            </w: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 study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B38" w14:textId="1592A266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 fully-powered (i.e. usually at least 80%) confirmatory study with pre-defined outcomes, analyses, sample size calculation (for specified power), and stated minimum biologically/clinically important difference(s).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311" w14:textId="2C2F886A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Sample size determined by formal calculation relevant to primary outcome, design and thence analysis method, taking into account attrition/loss to follow up.</w:t>
            </w:r>
          </w:p>
          <w:p w14:paraId="670DAF2D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1DB2E162" w14:textId="640FD0A4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Could be tens to tens of thousands of participants.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6D5" w14:textId="48989ADA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Clinical trials.</w:t>
            </w:r>
          </w:p>
          <w:p w14:paraId="1CCB536A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27D1E80" w14:textId="572BB43B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Large observational studies.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AFF" w14:textId="47C584B3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intervals.</w:t>
            </w:r>
          </w:p>
          <w:p w14:paraId="7F80A38F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E6F00C7" w14:textId="1F0D581F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Pre-defined hypothesis testing and estimation within appropriately complex modelling.</w:t>
            </w:r>
          </w:p>
          <w:p w14:paraId="0B6056B7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50813A7" w14:textId="5682D471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(Some secondary exploratory analyses may be appropriate).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CDB" w14:textId="499047CB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Clinical trials: </w:t>
            </w:r>
            <w:hyperlink r:id="rId7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SPIRIT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and </w:t>
            </w:r>
            <w:hyperlink r:id="rId8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CONSORT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guidelines.</w:t>
            </w:r>
          </w:p>
          <w:p w14:paraId="7CD1D8A4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F47EEA8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Observational studies: </w:t>
            </w:r>
            <w:hyperlink r:id="rId9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STROBE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guidelines.</w:t>
            </w:r>
          </w:p>
          <w:p w14:paraId="0B9BEB76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5F211992" w14:textId="51EB7078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Lab studies: </w:t>
            </w:r>
            <w:hyperlink r:id="rId10" w:anchor="s7" w:history="1">
              <w:r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RIPOSTE</w:t>
              </w:r>
            </w:hyperlink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guidelines.</w:t>
            </w:r>
          </w:p>
        </w:tc>
      </w:tr>
      <w:tr w:rsidR="00051C8C" w:rsidRPr="00D94A84" w14:paraId="4815D62E" w14:textId="6F04C598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79CC0" w14:textId="36C0290F" w:rsidR="00051C8C" w:rsidRPr="00D94A84" w:rsidRDefault="00051C8C" w:rsidP="00051C8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D94A84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Secondary analysis of pre-existing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or routinely collected data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A9E" w14:textId="1CA29D02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Studies involving the secondary analysis of pre-existing datasets that were not collected specifically for the current study, or data not collected primarily for research purposes.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164" w14:textId="21DCE175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Maximum sample size set by size of pre-existing dataset.</w:t>
            </w:r>
          </w:p>
          <w:p w14:paraId="43A531A5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99C5335" w14:textId="2D2A118F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Consideration of calculations for power and/or detectable effect size should be presented to show objectives are realistic and allow for missing data.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374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Examining relationships between exposures and disease in routinely collected patient data.</w:t>
            </w:r>
          </w:p>
          <w:p w14:paraId="4DE0E106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55651715" w14:textId="59791BE5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Re-analysing previously published data with new objectives or methods.</w:t>
            </w:r>
          </w:p>
          <w:p w14:paraId="26D202E3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D253FFE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Studies involving Machine Learning methods.</w:t>
            </w:r>
          </w:p>
          <w:p w14:paraId="21801B82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0D3100DB" w14:textId="467A5E22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Clinical audits.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85B" w14:textId="4771F391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intervals.</w:t>
            </w:r>
          </w:p>
          <w:p w14:paraId="7999D238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4091DE64" w14:textId="6DDBF714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Pre-defined hypothesis testing within appropriately complex modelling.</w:t>
            </w:r>
          </w:p>
          <w:p w14:paraId="7E2EC0B5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2BFA9AEA" w14:textId="6B2CD488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(Some exploratory analyses may be appropriate.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A4C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051C8C" w:rsidRPr="00D94A84" w14:paraId="52F224B4" w14:textId="77777777" w:rsidTr="00051C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C713C" w14:textId="7F0CF35B" w:rsidR="00051C8C" w:rsidRPr="00D94A84" w:rsidRDefault="00051C8C" w:rsidP="00051C8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lastRenderedPageBreak/>
              <w:t>Systematic reviews and meta-analyses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737" w14:textId="05246A33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Studies that collect and analyse published results from the literature.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669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n/a </w:t>
            </w:r>
          </w:p>
          <w:p w14:paraId="2018F2D1" w14:textId="46080496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Availability of published results is determined by the extent of the literature.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CBC" w14:textId="09034061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Used to summarise extent and quality of available literature. Meta-analyses combine evidence from similar studies.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D12" w14:textId="47AAEE4C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Descriptive statistics and confidence intervals (in particular, forest plots).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51E" w14:textId="77777777" w:rsidR="00051C8C" w:rsidRPr="00051C8C" w:rsidRDefault="003D42BB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hyperlink r:id="rId11" w:history="1">
              <w:r w:rsidR="00051C8C"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PRISMA</w:t>
              </w:r>
            </w:hyperlink>
            <w:r w:rsidR="00051C8C"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guidelines.</w:t>
            </w:r>
          </w:p>
          <w:p w14:paraId="3266C955" w14:textId="77777777" w:rsidR="00051C8C" w:rsidRPr="00051C8C" w:rsidRDefault="00051C8C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14:paraId="76BD3048" w14:textId="3451A704" w:rsidR="00051C8C" w:rsidRPr="00051C8C" w:rsidRDefault="003D42BB" w:rsidP="00051C8C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hyperlink r:id="rId12" w:history="1">
              <w:r w:rsidR="00051C8C" w:rsidRPr="00051C8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US"/>
                </w:rPr>
                <w:t>Cochrane Handbook for Systematic Reviews of Interventions</w:t>
              </w:r>
            </w:hyperlink>
            <w:r w:rsidR="00051C8C" w:rsidRPr="00051C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</w:tc>
      </w:tr>
    </w:tbl>
    <w:p w14:paraId="17EF240E" w14:textId="77777777" w:rsidR="00D0617E" w:rsidRPr="00D94A84" w:rsidRDefault="003D42BB">
      <w:pPr>
        <w:rPr>
          <w:sz w:val="18"/>
          <w:szCs w:val="18"/>
        </w:rPr>
      </w:pPr>
    </w:p>
    <w:sectPr w:rsidR="00D0617E" w:rsidRPr="00D94A84" w:rsidSect="00D94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7954"/>
    <w:multiLevelType w:val="multilevel"/>
    <w:tmpl w:val="0B7E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3051EC"/>
    <w:multiLevelType w:val="multilevel"/>
    <w:tmpl w:val="3B54917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A"/>
    <w:rsid w:val="00051C8C"/>
    <w:rsid w:val="00056F3C"/>
    <w:rsid w:val="00070ADE"/>
    <w:rsid w:val="000827A5"/>
    <w:rsid w:val="00096238"/>
    <w:rsid w:val="000E618D"/>
    <w:rsid w:val="000F5AE8"/>
    <w:rsid w:val="001D0F42"/>
    <w:rsid w:val="0020284B"/>
    <w:rsid w:val="002435FA"/>
    <w:rsid w:val="0035062A"/>
    <w:rsid w:val="003A0064"/>
    <w:rsid w:val="003A265E"/>
    <w:rsid w:val="003A54FA"/>
    <w:rsid w:val="003B1667"/>
    <w:rsid w:val="003D42BB"/>
    <w:rsid w:val="003D57B2"/>
    <w:rsid w:val="00491931"/>
    <w:rsid w:val="00492246"/>
    <w:rsid w:val="004F3868"/>
    <w:rsid w:val="005C2F3D"/>
    <w:rsid w:val="00660FAF"/>
    <w:rsid w:val="0068080E"/>
    <w:rsid w:val="006C21C4"/>
    <w:rsid w:val="006D6875"/>
    <w:rsid w:val="007D5159"/>
    <w:rsid w:val="007F1A54"/>
    <w:rsid w:val="00856970"/>
    <w:rsid w:val="008818BE"/>
    <w:rsid w:val="008C15E2"/>
    <w:rsid w:val="009F31A8"/>
    <w:rsid w:val="00A32848"/>
    <w:rsid w:val="00A5666A"/>
    <w:rsid w:val="00B3091A"/>
    <w:rsid w:val="00B47FCD"/>
    <w:rsid w:val="00B8308A"/>
    <w:rsid w:val="00C040F9"/>
    <w:rsid w:val="00C15DA5"/>
    <w:rsid w:val="00C22507"/>
    <w:rsid w:val="00C75BB2"/>
    <w:rsid w:val="00C82D28"/>
    <w:rsid w:val="00C87E1A"/>
    <w:rsid w:val="00CB44F7"/>
    <w:rsid w:val="00CD50F8"/>
    <w:rsid w:val="00D94A84"/>
    <w:rsid w:val="00DC2584"/>
    <w:rsid w:val="00DC609B"/>
    <w:rsid w:val="00F14169"/>
    <w:rsid w:val="00F35212"/>
    <w:rsid w:val="00F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890E"/>
  <w15:chartTrackingRefBased/>
  <w15:docId w15:val="{5B61EF05-6EC5-441B-8F19-7EA10A79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2A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0284B"/>
    <w:pPr>
      <w:keepNext/>
      <w:numPr>
        <w:numId w:val="9"/>
      </w:numPr>
      <w:spacing w:before="240" w:after="120"/>
      <w:outlineLvl w:val="0"/>
    </w:pPr>
    <w:rPr>
      <w:rFonts w:asciiTheme="minorHAnsi" w:eastAsia="Times New Roman" w:hAnsiTheme="minorHAnsi" w:cstheme="minorBidi"/>
      <w:b/>
      <w:color w:val="00000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84B"/>
    <w:pPr>
      <w:keepNext/>
      <w:numPr>
        <w:ilvl w:val="1"/>
        <w:numId w:val="9"/>
      </w:numPr>
      <w:spacing w:before="240" w:after="120"/>
      <w:outlineLvl w:val="1"/>
    </w:pPr>
    <w:rPr>
      <w:rFonts w:asciiTheme="minorHAnsi" w:eastAsia="Times New Roman" w:hAnsiTheme="minorHAnsi" w:cstheme="minorBidi"/>
      <w:b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84B"/>
    <w:pPr>
      <w:keepNext/>
      <w:numPr>
        <w:ilvl w:val="2"/>
        <w:numId w:val="9"/>
      </w:numPr>
      <w:tabs>
        <w:tab w:val="left" w:pos="547"/>
      </w:tabs>
      <w:spacing w:before="120" w:after="120"/>
      <w:ind w:right="216"/>
      <w:contextualSpacing/>
      <w:jc w:val="both"/>
      <w:outlineLvl w:val="2"/>
    </w:pPr>
    <w:rPr>
      <w:rFonts w:asciiTheme="minorHAnsi" w:eastAsia="Times New Roman" w:hAnsiTheme="minorHAnsi" w:cstheme="minorBidi"/>
      <w:b/>
      <w:noProof/>
      <w:color w:val="000000"/>
      <w:sz w:val="24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284B"/>
    <w:pPr>
      <w:keepNext/>
      <w:numPr>
        <w:ilvl w:val="3"/>
        <w:numId w:val="5"/>
      </w:numPr>
      <w:tabs>
        <w:tab w:val="clear" w:pos="2880"/>
      </w:tabs>
      <w:spacing w:before="240" w:after="60"/>
      <w:ind w:left="0" w:firstLine="0"/>
      <w:outlineLvl w:val="3"/>
    </w:pPr>
    <w:rPr>
      <w:rFonts w:asciiTheme="minorHAnsi" w:eastAsia="Times New Roman" w:hAnsiTheme="minorHAnsi" w:cstheme="minorBidi"/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0284B"/>
    <w:rPr>
      <w:rFonts w:eastAsia="Times New Roman"/>
      <w:b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rsid w:val="0020284B"/>
    <w:rPr>
      <w:rFonts w:eastAsia="Times New Roman"/>
      <w:b/>
      <w:sz w:val="24"/>
      <w:lang w:val="en-US"/>
    </w:rPr>
  </w:style>
  <w:style w:type="character" w:customStyle="1" w:styleId="Heading3Char">
    <w:name w:val="Heading 3 Char"/>
    <w:link w:val="Heading3"/>
    <w:uiPriority w:val="99"/>
    <w:rsid w:val="0020284B"/>
    <w:rPr>
      <w:rFonts w:eastAsia="Times New Roman"/>
      <w:b/>
      <w:noProof/>
      <w:color w:val="000000"/>
      <w:sz w:val="24"/>
      <w:lang w:val="en-US" w:eastAsia="de-DE"/>
    </w:rPr>
  </w:style>
  <w:style w:type="character" w:customStyle="1" w:styleId="Heading4Char">
    <w:name w:val="Heading 4 Char"/>
    <w:link w:val="Heading4"/>
    <w:uiPriority w:val="99"/>
    <w:rsid w:val="0020284B"/>
    <w:rPr>
      <w:rFonts w:eastAsia="Times New Roman"/>
      <w:b/>
      <w:sz w:val="24"/>
      <w:lang w:val="en-US"/>
    </w:rPr>
  </w:style>
  <w:style w:type="table" w:styleId="TableGrid">
    <w:name w:val="Table Grid"/>
    <w:basedOn w:val="TableNormal"/>
    <w:uiPriority w:val="39"/>
    <w:rsid w:val="0035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308A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E2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E2"/>
    <w:rPr>
      <w:rFonts w:ascii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922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\AppData\Local\Microsoft\Windows\INetCache\Content.Outlook\GI4RJICU\CONS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irit-statement.org/" TargetMode="External"/><Relationship Id="rId12" Type="http://schemas.openxmlformats.org/officeDocument/2006/relationships/hyperlink" Target="https://training.cochrane.org/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ort-statement.org/extensions/overview/pilotandfeasibility" TargetMode="External"/><Relationship Id="rId11" Type="http://schemas.openxmlformats.org/officeDocument/2006/relationships/hyperlink" Target="http://www.prisma-statement.org/" TargetMode="External"/><Relationship Id="rId5" Type="http://schemas.openxmlformats.org/officeDocument/2006/relationships/hyperlink" Target="http://www.consort-statement.org/extensions/overview/pilotandfeasibility" TargetMode="External"/><Relationship Id="rId10" Type="http://schemas.openxmlformats.org/officeDocument/2006/relationships/hyperlink" Target="https://elifesciences.org/articles/05519v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tor-network.org/reporting-guidelines/stro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Caroline Brooks</cp:lastModifiedBy>
  <cp:revision>2</cp:revision>
  <dcterms:created xsi:type="dcterms:W3CDTF">2022-01-27T08:22:00Z</dcterms:created>
  <dcterms:modified xsi:type="dcterms:W3CDTF">2022-01-27T08:22:00Z</dcterms:modified>
</cp:coreProperties>
</file>